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AAC4" w14:textId="5394A5AB" w:rsidR="00A73C32" w:rsidRDefault="00147D9D">
      <w:pPr>
        <w:spacing w:before="39"/>
        <w:ind w:left="3679" w:right="3679"/>
        <w:jc w:val="center"/>
        <w:rPr>
          <w:b/>
          <w:sz w:val="24"/>
        </w:rPr>
      </w:pPr>
      <w:r>
        <w:rPr>
          <w:b/>
          <w:sz w:val="24"/>
        </w:rPr>
        <w:t>IRB</w:t>
      </w:r>
      <w:r>
        <w:rPr>
          <w:b/>
          <w:spacing w:val="-4"/>
          <w:sz w:val="24"/>
        </w:rPr>
        <w:t xml:space="preserve"> </w:t>
      </w:r>
      <w:r w:rsidR="00362E6E">
        <w:rPr>
          <w:b/>
          <w:sz w:val="24"/>
        </w:rPr>
        <w:t>Reliance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Agreement</w:t>
      </w:r>
      <w:r w:rsidR="003D7110">
        <w:rPr>
          <w:b/>
          <w:sz w:val="24"/>
        </w:rPr>
        <w:t xml:space="preserve"> (Reviewing IRB)</w:t>
      </w:r>
    </w:p>
    <w:p w14:paraId="2705DEA5" w14:textId="77777777" w:rsidR="00A73C32" w:rsidRDefault="00A73C32">
      <w:pPr>
        <w:pStyle w:val="BodyText"/>
        <w:spacing w:before="8"/>
        <w:rPr>
          <w:b/>
          <w:sz w:val="27"/>
        </w:rPr>
      </w:pPr>
    </w:p>
    <w:p w14:paraId="273B37AF" w14:textId="42C7F049" w:rsidR="00A73C32" w:rsidRDefault="00147D9D" w:rsidP="009327CF">
      <w:pPr>
        <w:spacing w:before="1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Institution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Organization</w:t>
      </w:r>
      <w:r>
        <w:rPr>
          <w:b/>
          <w:spacing w:val="-3"/>
        </w:rPr>
        <w:t xml:space="preserve"> </w:t>
      </w:r>
      <w:r>
        <w:rPr>
          <w:b/>
        </w:rPr>
        <w:t>Providing</w:t>
      </w:r>
      <w:r>
        <w:rPr>
          <w:b/>
          <w:spacing w:val="-3"/>
        </w:rPr>
        <w:t xml:space="preserve"> </w:t>
      </w:r>
      <w:r>
        <w:rPr>
          <w:b/>
        </w:rPr>
        <w:t>IRB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-1"/>
        </w:rPr>
        <w:t xml:space="preserve"> </w:t>
      </w:r>
      <w:r>
        <w:t>(“</w:t>
      </w:r>
      <w:r w:rsidR="003D7110">
        <w:t>Reviewing IRB</w:t>
      </w:r>
      <w:r>
        <w:t xml:space="preserve">”): </w:t>
      </w:r>
      <w:r w:rsidRPr="00147D9D">
        <w:rPr>
          <w:u w:val="single"/>
        </w:rPr>
        <w:t>University of Maryland, College Park</w:t>
      </w:r>
    </w:p>
    <w:p w14:paraId="25D402F3" w14:textId="77777777" w:rsidR="00A73C32" w:rsidRDefault="00A73C32">
      <w:pPr>
        <w:pStyle w:val="BodyText"/>
        <w:spacing w:before="5"/>
        <w:rPr>
          <w:sz w:val="17"/>
        </w:rPr>
      </w:pPr>
    </w:p>
    <w:p w14:paraId="5181FDF7" w14:textId="77777777" w:rsidR="00A73C32" w:rsidRDefault="00147D9D" w:rsidP="00D12D0A">
      <w:pPr>
        <w:pStyle w:val="BodyText"/>
        <w:spacing w:before="56"/>
        <w:ind w:left="120" w:firstLine="359"/>
      </w:pPr>
      <w:r>
        <w:t>Designated</w:t>
      </w:r>
      <w:r>
        <w:rPr>
          <w:spacing w:val="-5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 xml:space="preserve">Number(s): </w:t>
      </w:r>
      <w:r w:rsidRPr="00147D9D">
        <w:rPr>
          <w:u w:val="single"/>
        </w:rPr>
        <w:t>IRB00000474</w:t>
      </w:r>
    </w:p>
    <w:p w14:paraId="02F8D6D5" w14:textId="77777777" w:rsidR="00FA0670" w:rsidRDefault="00FA0670">
      <w:pPr>
        <w:pStyle w:val="BodyText"/>
        <w:ind w:left="479"/>
      </w:pPr>
    </w:p>
    <w:p w14:paraId="1F5664A6" w14:textId="58CF309B" w:rsidR="00A73C32" w:rsidRDefault="00147D9D">
      <w:pPr>
        <w:pStyle w:val="BodyText"/>
        <w:ind w:left="479"/>
      </w:pPr>
      <w:proofErr w:type="spellStart"/>
      <w:r>
        <w:t>Federalwide</w:t>
      </w:r>
      <w:proofErr w:type="spellEnd"/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(FWA)</w:t>
      </w:r>
      <w:r>
        <w:rPr>
          <w:spacing w:val="-3"/>
        </w:rPr>
        <w:t xml:space="preserve"> </w:t>
      </w:r>
      <w:r>
        <w:t xml:space="preserve">#: </w:t>
      </w:r>
      <w:r>
        <w:rPr>
          <w:u w:val="single"/>
        </w:rPr>
        <w:t>FWA00005856</w:t>
      </w:r>
      <w:r w:rsidR="00FA0670">
        <w:rPr>
          <w:u w:val="single"/>
        </w:rPr>
        <w:t xml:space="preserve"> </w:t>
      </w:r>
    </w:p>
    <w:p w14:paraId="506001C8" w14:textId="77777777" w:rsidR="00A73C32" w:rsidRDefault="00A73C32">
      <w:pPr>
        <w:pStyle w:val="BodyText"/>
      </w:pPr>
    </w:p>
    <w:p w14:paraId="0E313F75" w14:textId="3FE21E6A" w:rsidR="00A73C32" w:rsidRDefault="00147D9D" w:rsidP="00073F84">
      <w:pPr>
        <w:rPr>
          <w:u w:val="single"/>
        </w:rPr>
      </w:pPr>
      <w:r>
        <w:rPr>
          <w:b/>
          <w:spacing w:val="-1"/>
        </w:rPr>
        <w:t>Name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Institution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Relying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Designated</w:t>
      </w:r>
      <w:r>
        <w:rPr>
          <w:b/>
          <w:spacing w:val="-15"/>
        </w:rPr>
        <w:t xml:space="preserve"> </w:t>
      </w:r>
      <w:r>
        <w:rPr>
          <w:b/>
        </w:rPr>
        <w:t>IRB(s)</w:t>
      </w:r>
      <w:r>
        <w:rPr>
          <w:b/>
          <w:spacing w:val="-13"/>
        </w:rPr>
        <w:t xml:space="preserve"> </w:t>
      </w:r>
      <w:r>
        <w:t>(“</w:t>
      </w:r>
      <w:r w:rsidR="00096201">
        <w:t xml:space="preserve">Relying </w:t>
      </w:r>
      <w:r w:rsidR="00074447">
        <w:t>Institution</w:t>
      </w:r>
      <w:r>
        <w:t>”):</w:t>
      </w:r>
      <w:r>
        <w:rPr>
          <w:spacing w:val="25"/>
        </w:rPr>
        <w:t xml:space="preserve"> </w:t>
      </w:r>
      <w:r w:rsidR="005F7525">
        <w:rPr>
          <w:spacing w:val="25"/>
        </w:rPr>
        <w:t>XXXXXXXX</w:t>
      </w:r>
    </w:p>
    <w:p w14:paraId="5F1386AB" w14:textId="77777777" w:rsidR="00223E1C" w:rsidRDefault="00223E1C" w:rsidP="00223E1C">
      <w:pPr>
        <w:pStyle w:val="BodyText"/>
        <w:spacing w:before="56"/>
        <w:ind w:left="120" w:firstLine="359"/>
      </w:pPr>
    </w:p>
    <w:p w14:paraId="3A74191E" w14:textId="0D49C79C" w:rsidR="00223E1C" w:rsidRDefault="00223E1C" w:rsidP="00223E1C">
      <w:pPr>
        <w:pStyle w:val="BodyText"/>
        <w:spacing w:before="56"/>
        <w:ind w:left="120" w:firstLine="359"/>
      </w:pPr>
      <w:r>
        <w:t>Designated</w:t>
      </w:r>
      <w:r>
        <w:rPr>
          <w:spacing w:val="-5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 xml:space="preserve">Number(s): </w:t>
      </w:r>
      <w:r w:rsidRPr="00147D9D">
        <w:rPr>
          <w:u w:val="single"/>
        </w:rPr>
        <w:t>IRB0000</w:t>
      </w:r>
      <w:r w:rsidR="005F7525">
        <w:rPr>
          <w:u w:val="single"/>
        </w:rPr>
        <w:t>xxxx</w:t>
      </w:r>
    </w:p>
    <w:p w14:paraId="12F46D24" w14:textId="77777777" w:rsidR="00223E1C" w:rsidRDefault="00223E1C" w:rsidP="00223E1C">
      <w:pPr>
        <w:pStyle w:val="BodyText"/>
        <w:ind w:left="479"/>
      </w:pPr>
    </w:p>
    <w:p w14:paraId="460BBE5E" w14:textId="7DAD05CE" w:rsidR="00223E1C" w:rsidRDefault="00223E1C" w:rsidP="00223E1C">
      <w:pPr>
        <w:pStyle w:val="BodyText"/>
        <w:ind w:left="479"/>
      </w:pPr>
      <w:proofErr w:type="spellStart"/>
      <w:r>
        <w:t>Federalwide</w:t>
      </w:r>
      <w:proofErr w:type="spellEnd"/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(FWA)</w:t>
      </w:r>
      <w:r>
        <w:rPr>
          <w:spacing w:val="-3"/>
        </w:rPr>
        <w:t xml:space="preserve"> </w:t>
      </w:r>
      <w:r>
        <w:t xml:space="preserve">#: </w:t>
      </w:r>
      <w:r>
        <w:rPr>
          <w:u w:val="single"/>
        </w:rPr>
        <w:t>FWA0000</w:t>
      </w:r>
      <w:r w:rsidR="005F7525">
        <w:rPr>
          <w:u w:val="single"/>
        </w:rPr>
        <w:t>xxxx</w:t>
      </w:r>
      <w:r>
        <w:rPr>
          <w:u w:val="single"/>
        </w:rPr>
        <w:t xml:space="preserve"> </w:t>
      </w:r>
    </w:p>
    <w:p w14:paraId="6B0F065D" w14:textId="77777777" w:rsidR="00223E1C" w:rsidRDefault="00223E1C" w:rsidP="00073F84"/>
    <w:p w14:paraId="125C3144" w14:textId="77777777" w:rsidR="00A73C32" w:rsidRDefault="00A73C32">
      <w:pPr>
        <w:pStyle w:val="BodyText"/>
        <w:spacing w:before="3"/>
        <w:rPr>
          <w:sz w:val="17"/>
        </w:rPr>
      </w:pPr>
    </w:p>
    <w:p w14:paraId="626A1C45" w14:textId="77777777" w:rsidR="00A73C32" w:rsidRDefault="00A73C32">
      <w:pPr>
        <w:pStyle w:val="BodyText"/>
      </w:pPr>
    </w:p>
    <w:p w14:paraId="1BCB600E" w14:textId="0CEC895A" w:rsidR="00A73C32" w:rsidRDefault="00147D9D" w:rsidP="009327CF">
      <w:pPr>
        <w:pStyle w:val="Heading1"/>
        <w:ind w:left="0" w:right="377" w:firstLine="0"/>
      </w:pPr>
      <w:r>
        <w:t xml:space="preserve">In accordance with </w:t>
      </w:r>
      <w:r w:rsidR="005D57D3">
        <w:t xml:space="preserve">this IRB </w:t>
      </w:r>
      <w:r w:rsidR="00362E6E">
        <w:t>Reliance</w:t>
      </w:r>
      <w:r w:rsidR="005D57D3">
        <w:t xml:space="preserve"> </w:t>
      </w:r>
      <w:r>
        <w:t>Agreement</w:t>
      </w:r>
      <w:r w:rsidR="005D57D3">
        <w:t>,</w:t>
      </w:r>
      <w:r>
        <w:t xml:space="preserve"> </w:t>
      </w:r>
      <w:r w:rsidR="005D57D3">
        <w:t>including the terms</w:t>
      </w:r>
      <w:r w:rsidR="00074447">
        <w:t xml:space="preserve"> and conditions</w:t>
      </w:r>
      <w:r w:rsidR="005D57D3">
        <w:t xml:space="preserve"> </w:t>
      </w:r>
      <w:r>
        <w:t>in APPENDIX A,</w:t>
      </w:r>
      <w:r w:rsidR="005D57D3">
        <w:t xml:space="preserve"> attached hereto and incorporated herein by reference</w:t>
      </w:r>
      <w:r w:rsidR="00096201">
        <w:t>,</w:t>
      </w:r>
      <w:r>
        <w:t xml:space="preserve"> the Officials signing below agree that </w:t>
      </w:r>
      <w:r w:rsidRPr="00FF24C7">
        <w:t>Re</w:t>
      </w:r>
      <w:r w:rsidR="007D4B72">
        <w:t>lying Institution</w:t>
      </w:r>
      <w:r>
        <w:t xml:space="preserve"> may rely on the Designated IRB(s) for review and continuing oversight of the human subject </w:t>
      </w:r>
      <w:proofErr w:type="gramStart"/>
      <w:r>
        <w:t>research</w:t>
      </w:r>
      <w:r w:rsidR="00CC18B9">
        <w:t xml:space="preserve"> </w:t>
      </w:r>
      <w:r>
        <w:rPr>
          <w:spacing w:val="-47"/>
        </w:rPr>
        <w:t xml:space="preserve"> </w:t>
      </w:r>
      <w:r>
        <w:t>projects</w:t>
      </w:r>
      <w:proofErr w:type="gramEnd"/>
      <w:r>
        <w:t xml:space="preserve"> described</w:t>
      </w:r>
      <w:r>
        <w:rPr>
          <w:spacing w:val="-1"/>
        </w:rPr>
        <w:t xml:space="preserve"> </w:t>
      </w:r>
      <w:r>
        <w:t>below:</w:t>
      </w:r>
    </w:p>
    <w:p w14:paraId="6430BC85" w14:textId="77777777" w:rsidR="00A73C32" w:rsidRDefault="00A73C32">
      <w:pPr>
        <w:pStyle w:val="BodyText"/>
        <w:spacing w:before="1"/>
        <w:rPr>
          <w:b/>
        </w:rPr>
      </w:pPr>
    </w:p>
    <w:p w14:paraId="3A450B7B" w14:textId="77928175" w:rsidR="00A73C32" w:rsidRDefault="00147D9D" w:rsidP="00362E6E">
      <w:pPr>
        <w:pStyle w:val="BodyText"/>
      </w:pPr>
      <w:r>
        <w:t>This</w:t>
      </w:r>
      <w:r>
        <w:rPr>
          <w:spacing w:val="-3"/>
        </w:rPr>
        <w:t xml:space="preserve"> </w:t>
      </w:r>
      <w:r w:rsidR="00362E6E">
        <w:t>A</w:t>
      </w:r>
      <w:r>
        <w:t>greement</w:t>
      </w:r>
      <w:r>
        <w:rPr>
          <w:spacing w:val="-1"/>
        </w:rPr>
        <w:t xml:space="preserve"> </w:t>
      </w:r>
      <w:r w:rsidR="00CB086D">
        <w:t xml:space="preserve">applies to all </w:t>
      </w:r>
      <w:r w:rsidR="00E73359" w:rsidRPr="00E73359">
        <w:rPr>
          <w:b/>
          <w:bCs/>
          <w:u w:val="single"/>
        </w:rPr>
        <w:t>Scholarship of Teaching and Learning (</w:t>
      </w:r>
      <w:proofErr w:type="spellStart"/>
      <w:r w:rsidR="00E73359" w:rsidRPr="00E73359">
        <w:rPr>
          <w:b/>
          <w:bCs/>
          <w:u w:val="single"/>
        </w:rPr>
        <w:t>SoTL</w:t>
      </w:r>
      <w:proofErr w:type="spellEnd"/>
      <w:r w:rsidR="00E73359" w:rsidRPr="00E73359">
        <w:rPr>
          <w:b/>
          <w:bCs/>
          <w:u w:val="single"/>
        </w:rPr>
        <w:t>)</w:t>
      </w:r>
      <w:r w:rsidR="00E73359">
        <w:t xml:space="preserve"> </w:t>
      </w:r>
      <w:r w:rsidR="00CB086D">
        <w:t>human subject research conducted by</w:t>
      </w:r>
      <w:r w:rsidR="00AD6587">
        <w:t xml:space="preserve"> Relying</w:t>
      </w:r>
      <w:r w:rsidR="00CB086D">
        <w:t xml:space="preserve"> Institution</w:t>
      </w:r>
      <w:r w:rsidR="00D73024">
        <w:t xml:space="preserve"> for which </w:t>
      </w:r>
      <w:r w:rsidR="0074524F">
        <w:t xml:space="preserve">Relying Institution </w:t>
      </w:r>
      <w:proofErr w:type="gramStart"/>
      <w:r w:rsidR="00D73024">
        <w:t>submit</w:t>
      </w:r>
      <w:r w:rsidR="0074524F">
        <w:t>s</w:t>
      </w:r>
      <w:r w:rsidR="00D73024">
        <w:t xml:space="preserve"> an application</w:t>
      </w:r>
      <w:proofErr w:type="gramEnd"/>
      <w:r w:rsidR="00E73359">
        <w:t xml:space="preserve"> </w:t>
      </w:r>
      <w:r w:rsidR="00401F5A">
        <w:t xml:space="preserve">under the </w:t>
      </w:r>
      <w:r w:rsidR="00401F5A" w:rsidRPr="00401F5A">
        <w:rPr>
          <w:b/>
          <w:bCs/>
        </w:rPr>
        <w:t xml:space="preserve">“Broad </w:t>
      </w:r>
      <w:proofErr w:type="spellStart"/>
      <w:r w:rsidR="00401F5A" w:rsidRPr="00401F5A">
        <w:rPr>
          <w:b/>
          <w:bCs/>
        </w:rPr>
        <w:t>SoTL</w:t>
      </w:r>
      <w:proofErr w:type="spellEnd"/>
      <w:r w:rsidR="00401F5A" w:rsidRPr="00401F5A">
        <w:rPr>
          <w:b/>
          <w:bCs/>
        </w:rPr>
        <w:t xml:space="preserve"> Protocol”</w:t>
      </w:r>
      <w:r w:rsidR="00401F5A">
        <w:t xml:space="preserve"> at the</w:t>
      </w:r>
      <w:r w:rsidR="00E73359">
        <w:t xml:space="preserve"> Reviewing Institution</w:t>
      </w:r>
      <w:r w:rsidR="00362E6E">
        <w:t xml:space="preserve">. </w:t>
      </w:r>
      <w:r>
        <w:t xml:space="preserve">This </w:t>
      </w:r>
      <w:r w:rsidR="00096201">
        <w:t>A</w:t>
      </w:r>
      <w:r>
        <w:t xml:space="preserve">greement is effective upon </w:t>
      </w:r>
      <w:r w:rsidR="00074447">
        <w:t xml:space="preserve">the date of last </w:t>
      </w:r>
      <w:r>
        <w:t xml:space="preserve">signature and will remain effective </w:t>
      </w:r>
      <w:r w:rsidR="00362E6E">
        <w:t>for five (5) years at which time the Agreement may be renewed by both parties.</w:t>
      </w:r>
    </w:p>
    <w:p w14:paraId="05D63C5D" w14:textId="77777777" w:rsidR="00A73C32" w:rsidRDefault="00A73C32">
      <w:pPr>
        <w:pStyle w:val="BodyText"/>
        <w:spacing w:before="10"/>
        <w:rPr>
          <w:sz w:val="21"/>
        </w:rPr>
      </w:pPr>
    </w:p>
    <w:p w14:paraId="06D664A0" w14:textId="7BA791D5" w:rsidR="00A73C32" w:rsidRDefault="00074447" w:rsidP="00096201">
      <w:pPr>
        <w:pStyle w:val="BodyText"/>
      </w:pPr>
      <w:r w:rsidRPr="00074447">
        <w:t xml:space="preserve">The </w:t>
      </w:r>
      <w:r w:rsidR="003F0F61">
        <w:t>Reviewing IRB</w:t>
      </w:r>
      <w:r w:rsidRPr="00074447">
        <w:t xml:space="preserve"> will follow </w:t>
      </w:r>
      <w:r w:rsidR="00A128A4">
        <w:t>the University of Maryland, College Park Human Research Protections Policies and Procedures</w:t>
      </w:r>
      <w:r w:rsidRPr="00074447">
        <w:t xml:space="preserve"> for reporting its findings and actions to appropriate officials at </w:t>
      </w:r>
      <w:r>
        <w:t>the Relying Institution</w:t>
      </w:r>
      <w:r w:rsidRPr="00074447">
        <w:t xml:space="preserve">. Relevant minutes of IRB meetings will be made available to </w:t>
      </w:r>
      <w:r>
        <w:t>the Relying Institution</w:t>
      </w:r>
      <w:r w:rsidRPr="00074447">
        <w:t xml:space="preserve"> upon request. </w:t>
      </w:r>
      <w:r>
        <w:t>The Relying Institution</w:t>
      </w:r>
      <w:r w:rsidRPr="00074447">
        <w:t xml:space="preserve"> remains responsible for ensuring compliance with the </w:t>
      </w:r>
      <w:r w:rsidR="003F0F61">
        <w:t xml:space="preserve">Reviewing </w:t>
      </w:r>
      <w:r w:rsidRPr="00074447">
        <w:t>IRB</w:t>
      </w:r>
      <w:r>
        <w:t xml:space="preserve"> </w:t>
      </w:r>
      <w:r w:rsidRPr="00074447">
        <w:t xml:space="preserve">determinations and with the </w:t>
      </w:r>
      <w:r w:rsidR="00497EC1">
        <w:t>t</w:t>
      </w:r>
      <w:r w:rsidRPr="00074447">
        <w:t xml:space="preserve">erms of </w:t>
      </w:r>
      <w:r w:rsidR="00497EC1">
        <w:t xml:space="preserve">the Reviewing IRB </w:t>
      </w:r>
      <w:r w:rsidRPr="00074447">
        <w:t>OHRP-approved FWA. This document must be kept on file by both parties and provided to OHRP upon request.</w:t>
      </w:r>
    </w:p>
    <w:p w14:paraId="69DF0160" w14:textId="77777777" w:rsidR="00A73C32" w:rsidRDefault="00A73C32">
      <w:pPr>
        <w:pStyle w:val="BodyText"/>
      </w:pPr>
    </w:p>
    <w:p w14:paraId="2B44A302" w14:textId="77777777" w:rsidR="00A73C32" w:rsidRDefault="00096201" w:rsidP="00096201">
      <w:pPr>
        <w:pStyle w:val="BodyText"/>
        <w:spacing w:before="12"/>
      </w:pPr>
      <w:r w:rsidRPr="00096201">
        <w:t>Agreed to</w:t>
      </w:r>
      <w:r>
        <w:t xml:space="preserve"> by:</w:t>
      </w:r>
    </w:p>
    <w:p w14:paraId="032E431F" w14:textId="77777777" w:rsidR="00096201" w:rsidRDefault="00096201" w:rsidP="00096201">
      <w:pPr>
        <w:pStyle w:val="BodyText"/>
        <w:spacing w:before="12"/>
      </w:pPr>
    </w:p>
    <w:p w14:paraId="20D1A300" w14:textId="0C233BED" w:rsidR="00096201" w:rsidRPr="009327CF" w:rsidRDefault="00362E6E" w:rsidP="00096201">
      <w:pPr>
        <w:pStyle w:val="BodyText"/>
        <w:spacing w:before="12"/>
        <w:rPr>
          <w:b/>
        </w:rPr>
      </w:pPr>
      <w:r>
        <w:rPr>
          <w:b/>
        </w:rPr>
        <w:t>IRB of Record:</w:t>
      </w:r>
      <w:r w:rsidR="00096201" w:rsidRPr="009327CF">
        <w:rPr>
          <w:b/>
        </w:rPr>
        <w:t xml:space="preserve"> University of Maryland College Park</w:t>
      </w:r>
    </w:p>
    <w:p w14:paraId="25670D52" w14:textId="77777777" w:rsidR="009B211F" w:rsidRDefault="00147D9D">
      <w:pPr>
        <w:pStyle w:val="BodyText"/>
        <w:tabs>
          <w:tab w:val="left" w:pos="7679"/>
        </w:tabs>
        <w:ind w:left="120"/>
        <w:rPr>
          <w:u w:val="single"/>
        </w:rPr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Signatory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(IRB):</w:t>
      </w:r>
      <w:r>
        <w:rPr>
          <w:u w:val="single"/>
        </w:rPr>
        <w:tab/>
      </w:r>
      <w:r w:rsidR="008A5422">
        <w:rPr>
          <w:u w:val="single"/>
        </w:rPr>
        <w:t xml:space="preserve">  </w:t>
      </w:r>
    </w:p>
    <w:p w14:paraId="7D76D6DB" w14:textId="77777777" w:rsidR="00A73C32" w:rsidRDefault="00147D9D">
      <w:pPr>
        <w:pStyle w:val="BodyText"/>
        <w:tabs>
          <w:tab w:val="left" w:pos="7679"/>
        </w:tabs>
        <w:ind w:left="120"/>
        <w:rPr>
          <w:rFonts w:ascii="Arial"/>
          <w:sz w:val="21"/>
        </w:rPr>
      </w:pPr>
      <w:r>
        <w:t>Date:</w:t>
      </w:r>
      <w:r>
        <w:rPr>
          <w:spacing w:val="56"/>
          <w:position w:val="4"/>
          <w:u w:val="single"/>
        </w:rPr>
        <w:t xml:space="preserve"> </w:t>
      </w:r>
      <w:r w:rsidR="008A5422">
        <w:rPr>
          <w:spacing w:val="45"/>
          <w:u w:val="single"/>
        </w:rPr>
        <w:t xml:space="preserve"> </w:t>
      </w:r>
      <w:r w:rsidR="008A5422">
        <w:rPr>
          <w:u w:val="single"/>
        </w:rPr>
        <w:t xml:space="preserve">                          </w:t>
      </w:r>
    </w:p>
    <w:p w14:paraId="531D881E" w14:textId="28117271" w:rsidR="00A73C32" w:rsidRDefault="00147D9D">
      <w:pPr>
        <w:pStyle w:val="BodyText"/>
        <w:ind w:left="120"/>
      </w:pPr>
      <w:r>
        <w:t>Print Full Name:</w:t>
      </w:r>
      <w:r>
        <w:rPr>
          <w:spacing w:val="48"/>
        </w:rPr>
        <w:t xml:space="preserve"> </w:t>
      </w:r>
      <w:r w:rsidR="00BE77C4">
        <w:rPr>
          <w:spacing w:val="45"/>
          <w:u w:val="single"/>
        </w:rPr>
        <w:t>Joseph M. Smith</w:t>
      </w:r>
    </w:p>
    <w:p w14:paraId="2EFBCAC7" w14:textId="549C15D0" w:rsidR="00A73C32" w:rsidRDefault="00147D9D" w:rsidP="008A5422">
      <w:pPr>
        <w:pStyle w:val="BodyText"/>
        <w:ind w:left="120"/>
        <w:rPr>
          <w:sz w:val="18"/>
        </w:rPr>
      </w:pPr>
      <w:r>
        <w:t>Institutional</w:t>
      </w:r>
      <w:r>
        <w:rPr>
          <w:spacing w:val="-5"/>
        </w:rPr>
        <w:t xml:space="preserve"> </w:t>
      </w:r>
      <w:r>
        <w:t>Title:</w:t>
      </w:r>
      <w:r>
        <w:rPr>
          <w:spacing w:val="-2"/>
        </w:rPr>
        <w:t xml:space="preserve"> </w:t>
      </w:r>
      <w:r w:rsidR="00BE77C4">
        <w:rPr>
          <w:spacing w:val="45"/>
          <w:u w:val="single"/>
        </w:rPr>
        <w:t>Director – Human Research Protection Program</w:t>
      </w:r>
    </w:p>
    <w:p w14:paraId="4DA8D79E" w14:textId="77777777" w:rsidR="008A5422" w:rsidRDefault="008A5422" w:rsidP="008A5422">
      <w:pPr>
        <w:pStyle w:val="BodyText"/>
        <w:tabs>
          <w:tab w:val="left" w:pos="7679"/>
        </w:tabs>
        <w:ind w:left="120"/>
        <w:rPr>
          <w:sz w:val="25"/>
        </w:rPr>
      </w:pPr>
    </w:p>
    <w:p w14:paraId="6164A276" w14:textId="77777777" w:rsidR="00917DF5" w:rsidRDefault="00917DF5" w:rsidP="008A5422">
      <w:pPr>
        <w:pStyle w:val="BodyText"/>
        <w:tabs>
          <w:tab w:val="left" w:pos="7679"/>
        </w:tabs>
        <w:ind w:left="120"/>
      </w:pPr>
    </w:p>
    <w:p w14:paraId="6CB96F71" w14:textId="027B3D8F" w:rsidR="00917DF5" w:rsidRPr="009327CF" w:rsidRDefault="00096201" w:rsidP="00096201">
      <w:pPr>
        <w:pStyle w:val="BodyText"/>
        <w:tabs>
          <w:tab w:val="left" w:pos="7679"/>
        </w:tabs>
        <w:rPr>
          <w:b/>
        </w:rPr>
      </w:pPr>
      <w:r w:rsidRPr="009327CF">
        <w:rPr>
          <w:b/>
        </w:rPr>
        <w:t xml:space="preserve">Relying </w:t>
      </w:r>
      <w:r w:rsidR="00B5495C">
        <w:rPr>
          <w:b/>
        </w:rPr>
        <w:t>Institution</w:t>
      </w:r>
      <w:r w:rsidR="00362E6E">
        <w:rPr>
          <w:b/>
        </w:rPr>
        <w:t>:</w:t>
      </w:r>
      <w:r w:rsidRPr="009327CF">
        <w:rPr>
          <w:b/>
        </w:rPr>
        <w:t xml:space="preserve"> </w:t>
      </w:r>
      <w:r w:rsidR="00AB69BD">
        <w:rPr>
          <w:b/>
        </w:rPr>
        <w:t>XXXXXXX</w:t>
      </w:r>
      <w:r w:rsidR="00A51B45">
        <w:rPr>
          <w:b/>
        </w:rPr>
        <w:t xml:space="preserve"> </w:t>
      </w:r>
    </w:p>
    <w:p w14:paraId="0B2E91BE" w14:textId="77777777" w:rsidR="003F0F61" w:rsidRDefault="008A5422" w:rsidP="008A5422">
      <w:pPr>
        <w:pStyle w:val="BodyText"/>
        <w:tabs>
          <w:tab w:val="left" w:pos="7679"/>
        </w:tabs>
        <w:ind w:left="120"/>
        <w:rPr>
          <w:u w:val="single"/>
        </w:rPr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Signatory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(IRB):</w:t>
      </w:r>
      <w:r w:rsidRPr="008A5422">
        <w:rPr>
          <w:u w:val="single"/>
        </w:rPr>
        <w:t xml:space="preserve"> </w:t>
      </w:r>
      <w:r>
        <w:rPr>
          <w:u w:val="single"/>
        </w:rPr>
        <w:tab/>
        <w:t xml:space="preserve"> </w:t>
      </w:r>
    </w:p>
    <w:p w14:paraId="20F53571" w14:textId="7C19F73B" w:rsidR="008A5422" w:rsidRDefault="008A5422" w:rsidP="008A5422">
      <w:pPr>
        <w:pStyle w:val="BodyText"/>
        <w:tabs>
          <w:tab w:val="left" w:pos="7679"/>
        </w:tabs>
        <w:ind w:left="120"/>
        <w:rPr>
          <w:rFonts w:ascii="Arial"/>
          <w:sz w:val="21"/>
        </w:rPr>
      </w:pPr>
      <w:r>
        <w:t>Date:</w:t>
      </w:r>
      <w:r>
        <w:rPr>
          <w:spacing w:val="56"/>
          <w:position w:val="4"/>
          <w:u w:val="single"/>
        </w:rPr>
        <w:t xml:space="preserve"> </w:t>
      </w:r>
      <w:r>
        <w:rPr>
          <w:spacing w:val="45"/>
          <w:u w:val="single"/>
        </w:rPr>
        <w:t xml:space="preserve"> </w:t>
      </w:r>
      <w:r>
        <w:rPr>
          <w:u w:val="single"/>
        </w:rPr>
        <w:t xml:space="preserve">                          </w:t>
      </w:r>
    </w:p>
    <w:p w14:paraId="7A0FFF66" w14:textId="53C5597E" w:rsidR="008A5422" w:rsidRDefault="008A5422" w:rsidP="008A5422">
      <w:pPr>
        <w:pStyle w:val="BodyText"/>
        <w:ind w:left="120"/>
      </w:pPr>
      <w:r>
        <w:t>Print Full Name:</w:t>
      </w:r>
      <w:r>
        <w:rPr>
          <w:spacing w:val="48"/>
        </w:rPr>
        <w:t xml:space="preserve"> </w:t>
      </w:r>
    </w:p>
    <w:p w14:paraId="52C5D39B" w14:textId="21E7AC94" w:rsidR="008A5422" w:rsidRDefault="008A5422" w:rsidP="008A5422">
      <w:pPr>
        <w:pStyle w:val="BodyText"/>
        <w:ind w:left="120"/>
        <w:rPr>
          <w:sz w:val="18"/>
        </w:rPr>
      </w:pPr>
      <w:r>
        <w:t>Institutional</w:t>
      </w:r>
      <w:r>
        <w:rPr>
          <w:spacing w:val="-5"/>
        </w:rPr>
        <w:t xml:space="preserve"> </w:t>
      </w:r>
      <w:r>
        <w:t>Title:</w:t>
      </w:r>
      <w:r>
        <w:rPr>
          <w:spacing w:val="-2"/>
        </w:rPr>
        <w:t xml:space="preserve"> </w:t>
      </w:r>
    </w:p>
    <w:p w14:paraId="0A53BC5A" w14:textId="77777777" w:rsidR="00A73C32" w:rsidRDefault="00A73C32">
      <w:pPr>
        <w:pStyle w:val="BodyText"/>
        <w:spacing w:before="4"/>
        <w:rPr>
          <w:sz w:val="19"/>
        </w:rPr>
      </w:pPr>
    </w:p>
    <w:p w14:paraId="496D7068" w14:textId="77777777" w:rsidR="009B211F" w:rsidRDefault="009B211F">
      <w:pPr>
        <w:spacing w:line="230" w:lineRule="exact"/>
        <w:ind w:left="380"/>
        <w:rPr>
          <w:position w:val="-4"/>
        </w:rPr>
      </w:pPr>
    </w:p>
    <w:p w14:paraId="067E29F7" w14:textId="77777777" w:rsidR="009B211F" w:rsidRDefault="009B211F">
      <w:pPr>
        <w:spacing w:line="230" w:lineRule="exact"/>
        <w:ind w:left="380"/>
        <w:rPr>
          <w:position w:val="-4"/>
        </w:rPr>
      </w:pPr>
    </w:p>
    <w:p w14:paraId="311C9696" w14:textId="77777777" w:rsidR="009B211F" w:rsidRDefault="009B211F">
      <w:pPr>
        <w:spacing w:line="230" w:lineRule="exact"/>
        <w:ind w:left="380"/>
        <w:rPr>
          <w:position w:val="-4"/>
        </w:rPr>
      </w:pPr>
    </w:p>
    <w:p w14:paraId="30C9D8A0" w14:textId="77777777" w:rsidR="009B211F" w:rsidRDefault="009B211F">
      <w:pPr>
        <w:spacing w:line="230" w:lineRule="exact"/>
        <w:ind w:left="380"/>
        <w:rPr>
          <w:position w:val="-4"/>
        </w:rPr>
      </w:pPr>
    </w:p>
    <w:p w14:paraId="6A19316D" w14:textId="62911B58" w:rsidR="00A73C32" w:rsidRDefault="00147D9D" w:rsidP="006753FF">
      <w:pPr>
        <w:pStyle w:val="Heading1"/>
        <w:spacing w:before="37"/>
        <w:ind w:left="120" w:firstLine="0"/>
        <w:jc w:val="center"/>
      </w:pPr>
      <w:r>
        <w:t>APPENDIX</w:t>
      </w:r>
      <w:r>
        <w:rPr>
          <w:spacing w:val="-4"/>
        </w:rPr>
        <w:t xml:space="preserve"> </w:t>
      </w:r>
      <w:r>
        <w:t>A:</w:t>
      </w:r>
      <w:r>
        <w:rPr>
          <w:spacing w:val="-3"/>
        </w:rPr>
        <w:t xml:space="preserve"> </w:t>
      </w:r>
      <w:r w:rsidR="00074447">
        <w:t>Terms and Conditions</w:t>
      </w:r>
    </w:p>
    <w:p w14:paraId="638A104A" w14:textId="77777777" w:rsidR="00A73C32" w:rsidRDefault="00A73C32">
      <w:pPr>
        <w:pStyle w:val="BodyText"/>
        <w:rPr>
          <w:b/>
        </w:rPr>
      </w:pPr>
    </w:p>
    <w:p w14:paraId="429FE417" w14:textId="7E13BBFC" w:rsidR="00A73C32" w:rsidRDefault="00147D9D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ind w:hanging="722"/>
        <w:rPr>
          <w:b/>
        </w:rPr>
      </w:pPr>
      <w:r>
        <w:rPr>
          <w:b/>
        </w:rPr>
        <w:t>Obligations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 w:rsidR="003F0F61">
        <w:rPr>
          <w:b/>
          <w:spacing w:val="-4"/>
        </w:rPr>
        <w:t xml:space="preserve">Reviewing </w:t>
      </w:r>
      <w:r>
        <w:rPr>
          <w:b/>
        </w:rPr>
        <w:t>IRB</w:t>
      </w:r>
      <w:r w:rsidR="003F0F61">
        <w:rPr>
          <w:b/>
        </w:rPr>
        <w:t>.</w:t>
      </w:r>
    </w:p>
    <w:p w14:paraId="0AFE0DD7" w14:textId="77777777" w:rsidR="00A73C32" w:rsidRDefault="00A73C32">
      <w:pPr>
        <w:pStyle w:val="BodyText"/>
        <w:spacing w:before="8"/>
        <w:rPr>
          <w:b/>
          <w:sz w:val="19"/>
        </w:rPr>
      </w:pPr>
    </w:p>
    <w:p w14:paraId="4F65AF85" w14:textId="78478738" w:rsidR="00A73C32" w:rsidRDefault="003F0F61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</w:pPr>
      <w:r>
        <w:rPr>
          <w:u w:val="single"/>
        </w:rPr>
        <w:t xml:space="preserve">Reviewing </w:t>
      </w:r>
      <w:r w:rsidR="00147D9D">
        <w:rPr>
          <w:u w:val="single"/>
        </w:rPr>
        <w:t>IRB</w:t>
      </w:r>
      <w:r w:rsidR="00074447">
        <w:rPr>
          <w:spacing w:val="-2"/>
          <w:u w:val="single"/>
        </w:rPr>
        <w:t xml:space="preserve"> </w:t>
      </w:r>
      <w:r w:rsidR="00147D9D">
        <w:rPr>
          <w:u w:val="single"/>
        </w:rPr>
        <w:t>Services</w:t>
      </w:r>
      <w:r w:rsidR="00147D9D">
        <w:t>.</w:t>
      </w:r>
      <w:r w:rsidR="00147D9D">
        <w:rPr>
          <w:spacing w:val="45"/>
        </w:rPr>
        <w:t xml:space="preserve"> </w:t>
      </w:r>
      <w:r w:rsidR="00147D9D">
        <w:t>For</w:t>
      </w:r>
      <w:r w:rsidR="00147D9D">
        <w:rPr>
          <w:spacing w:val="-4"/>
        </w:rPr>
        <w:t xml:space="preserve"> </w:t>
      </w:r>
      <w:r w:rsidR="00147D9D">
        <w:t>the research</w:t>
      </w:r>
      <w:r w:rsidR="00147D9D">
        <w:rPr>
          <w:spacing w:val="-3"/>
        </w:rPr>
        <w:t xml:space="preserve"> </w:t>
      </w:r>
      <w:r w:rsidR="00147D9D">
        <w:t>described</w:t>
      </w:r>
      <w:r w:rsidR="00147D9D">
        <w:rPr>
          <w:spacing w:val="-2"/>
        </w:rPr>
        <w:t xml:space="preserve"> </w:t>
      </w:r>
      <w:r w:rsidR="00147D9D">
        <w:t>above,</w:t>
      </w:r>
      <w:r w:rsidR="00147D9D">
        <w:rPr>
          <w:spacing w:val="-2"/>
        </w:rPr>
        <w:t xml:space="preserve"> </w:t>
      </w:r>
      <w:r>
        <w:rPr>
          <w:spacing w:val="-2"/>
        </w:rPr>
        <w:t xml:space="preserve">the Reviewing </w:t>
      </w:r>
      <w:r w:rsidR="00147D9D">
        <w:t>IRB</w:t>
      </w:r>
      <w:r w:rsidR="00147D9D">
        <w:rPr>
          <w:spacing w:val="-2"/>
        </w:rPr>
        <w:t xml:space="preserve"> </w:t>
      </w:r>
      <w:r w:rsidR="00147D9D">
        <w:t>agrees</w:t>
      </w:r>
      <w:r w:rsidR="00147D9D">
        <w:rPr>
          <w:spacing w:val="-1"/>
        </w:rPr>
        <w:t xml:space="preserve"> </w:t>
      </w:r>
      <w:r w:rsidR="00147D9D">
        <w:t>to:</w:t>
      </w:r>
    </w:p>
    <w:p w14:paraId="0B0B66EC" w14:textId="77777777" w:rsidR="00A73C32" w:rsidRDefault="00A73C32">
      <w:pPr>
        <w:pStyle w:val="BodyText"/>
        <w:spacing w:before="1"/>
        <w:rPr>
          <w:sz w:val="15"/>
        </w:rPr>
      </w:pPr>
    </w:p>
    <w:p w14:paraId="4F782AE6" w14:textId="7B08F3FC" w:rsidR="00A73C32" w:rsidRDefault="00147D9D">
      <w:pPr>
        <w:pStyle w:val="ListParagraph"/>
        <w:numPr>
          <w:ilvl w:val="2"/>
          <w:numId w:val="3"/>
        </w:numPr>
        <w:tabs>
          <w:tab w:val="left" w:pos="1920"/>
        </w:tabs>
        <w:spacing w:before="57"/>
        <w:ind w:right="140"/>
      </w:pPr>
      <w:r>
        <w:t>Perform initial review, continuing review</w:t>
      </w:r>
      <w:r w:rsidR="004F1842">
        <w:t xml:space="preserve"> (</w:t>
      </w:r>
      <w:r>
        <w:t>if applicable and at intervals appropriate to level of</w:t>
      </w:r>
      <w:r>
        <w:rPr>
          <w:spacing w:val="-47"/>
        </w:rPr>
        <w:t xml:space="preserve"> </w:t>
      </w:r>
      <w:r>
        <w:t>risk</w:t>
      </w:r>
      <w:r w:rsidR="004F1842">
        <w:t>)</w:t>
      </w:r>
      <w:r>
        <w:t>, review of amendments, and review of reportable events pursuant to the University of</w:t>
      </w:r>
      <w:r>
        <w:rPr>
          <w:spacing w:val="1"/>
        </w:rPr>
        <w:t xml:space="preserve"> </w:t>
      </w:r>
      <w:r>
        <w:t>Maryland’s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proofErr w:type="gramStart"/>
      <w:r>
        <w:t>Policies;</w:t>
      </w:r>
      <w:proofErr w:type="gramEnd"/>
    </w:p>
    <w:p w14:paraId="5012981D" w14:textId="77777777" w:rsidR="00A73C32" w:rsidRDefault="00A73C32">
      <w:pPr>
        <w:pStyle w:val="BodyText"/>
        <w:spacing w:before="6"/>
        <w:rPr>
          <w:sz w:val="19"/>
        </w:rPr>
      </w:pPr>
    </w:p>
    <w:p w14:paraId="74627336" w14:textId="77777777" w:rsidR="00A73C32" w:rsidRDefault="00147D9D">
      <w:pPr>
        <w:pStyle w:val="ListParagraph"/>
        <w:numPr>
          <w:ilvl w:val="2"/>
          <w:numId w:val="3"/>
        </w:numPr>
        <w:tabs>
          <w:tab w:val="left" w:pos="1920"/>
        </w:tabs>
        <w:ind w:hanging="361"/>
      </w:pPr>
      <w:r>
        <w:t>Ensure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46.111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§</w:t>
      </w:r>
    </w:p>
    <w:p w14:paraId="7FEAE748" w14:textId="064EE326" w:rsidR="00A73C32" w:rsidRDefault="00147D9D">
      <w:pPr>
        <w:pStyle w:val="BodyText"/>
        <w:ind w:left="1919" w:right="557"/>
      </w:pPr>
      <w:r>
        <w:t>56.111 as may be subsequently amended, taking into account local context information</w:t>
      </w:r>
      <w:r>
        <w:rPr>
          <w:spacing w:val="-47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</w:t>
      </w:r>
      <w:r w:rsidR="00C81B7E">
        <w:t>lying Institution</w:t>
      </w:r>
      <w:r>
        <w:rPr>
          <w:spacing w:val="1"/>
        </w:rPr>
        <w:t xml:space="preserve"> </w:t>
      </w:r>
      <w:r>
        <w:t>per Section</w:t>
      </w:r>
      <w:r>
        <w:rPr>
          <w:spacing w:val="-2"/>
        </w:rPr>
        <w:t xml:space="preserve"> </w:t>
      </w:r>
      <w:proofErr w:type="gramStart"/>
      <w:r>
        <w:t>2.1(b);</w:t>
      </w:r>
      <w:proofErr w:type="gramEnd"/>
    </w:p>
    <w:p w14:paraId="71B7C158" w14:textId="77777777" w:rsidR="00A73C32" w:rsidRDefault="00A73C32">
      <w:pPr>
        <w:pStyle w:val="BodyText"/>
        <w:spacing w:before="8"/>
        <w:rPr>
          <w:sz w:val="19"/>
        </w:rPr>
      </w:pPr>
    </w:p>
    <w:p w14:paraId="3181477A" w14:textId="77777777" w:rsidR="00A73C32" w:rsidRDefault="00147D9D">
      <w:pPr>
        <w:pStyle w:val="ListParagraph"/>
        <w:numPr>
          <w:ilvl w:val="2"/>
          <w:numId w:val="3"/>
        </w:numPr>
        <w:tabs>
          <w:tab w:val="left" w:pos="1919"/>
          <w:tab w:val="left" w:pos="1920"/>
        </w:tabs>
        <w:ind w:right="238" w:hanging="361"/>
      </w:pPr>
      <w:r>
        <w:t>Review informed consent forms when IRB has determined that such a consent form is</w:t>
      </w:r>
      <w:r>
        <w:rPr>
          <w:spacing w:val="1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consent form</w:t>
      </w:r>
      <w:r>
        <w:rPr>
          <w:spacing w:val="-2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 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§</w:t>
      </w:r>
    </w:p>
    <w:p w14:paraId="479FEC8F" w14:textId="61FADA31" w:rsidR="00A73C32" w:rsidRDefault="00147D9D">
      <w:pPr>
        <w:pStyle w:val="BodyText"/>
        <w:spacing w:before="1"/>
        <w:ind w:left="1919"/>
      </w:pPr>
      <w:r>
        <w:t>46.116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50.20</w:t>
      </w:r>
      <w:r w:rsidR="00074447">
        <w:t>,</w:t>
      </w:r>
      <w:r>
        <w:t xml:space="preserve"> as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 w:rsidR="006753FF">
        <w:t xml:space="preserve">be </w:t>
      </w:r>
      <w:r>
        <w:t>amended</w:t>
      </w:r>
      <w:r w:rsidR="00074447">
        <w:t xml:space="preserve"> from time to </w:t>
      </w:r>
      <w:proofErr w:type="gramStart"/>
      <w:r w:rsidR="00074447">
        <w:t>time</w:t>
      </w:r>
      <w:r>
        <w:t>;</w:t>
      </w:r>
      <w:proofErr w:type="gramEnd"/>
    </w:p>
    <w:p w14:paraId="5D431099" w14:textId="77777777" w:rsidR="00A73C32" w:rsidRDefault="00A73C32">
      <w:pPr>
        <w:pStyle w:val="BodyText"/>
        <w:spacing w:before="8"/>
        <w:rPr>
          <w:sz w:val="19"/>
        </w:rPr>
      </w:pPr>
    </w:p>
    <w:p w14:paraId="70E0B7F0" w14:textId="38C0D14C" w:rsidR="00A73C32" w:rsidRDefault="00147D9D">
      <w:pPr>
        <w:pStyle w:val="ListParagraph"/>
        <w:numPr>
          <w:ilvl w:val="2"/>
          <w:numId w:val="3"/>
        </w:numPr>
        <w:tabs>
          <w:tab w:val="left" w:pos="1920"/>
        </w:tabs>
        <w:ind w:right="136"/>
      </w:pPr>
      <w:r>
        <w:t>Make determinations upon request pursuant to 45 CFR § 164.512(</w:t>
      </w:r>
      <w:proofErr w:type="spellStart"/>
      <w:r>
        <w:t>i</w:t>
      </w:r>
      <w:proofErr w:type="spellEnd"/>
      <w:r>
        <w:t>)(1)(</w:t>
      </w:r>
      <w:proofErr w:type="spellStart"/>
      <w:r>
        <w:t>i</w:t>
      </w:r>
      <w:proofErr w:type="spellEnd"/>
      <w:r>
        <w:t>)(A) of the Standards</w:t>
      </w:r>
      <w:r>
        <w:rPr>
          <w:spacing w:val="-48"/>
        </w:rPr>
        <w:t xml:space="preserve"> </w:t>
      </w:r>
      <w:r>
        <w:t>for Privacy of Individually Identifiable Health Information (45 CFR Part 160 and Subparts A</w:t>
      </w:r>
      <w:r>
        <w:rPr>
          <w:spacing w:val="1"/>
        </w:rPr>
        <w:t xml:space="preserve"> </w:t>
      </w:r>
      <w:r>
        <w:t>and E of Part 164 as may be subsequently amended (the "Privacy Rules") promulgated</w:t>
      </w:r>
      <w:r>
        <w:rPr>
          <w:spacing w:val="1"/>
        </w:rPr>
        <w:t xml:space="preserve"> </w:t>
      </w:r>
      <w:r>
        <w:t>pursuant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Portability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of 1996</w:t>
      </w:r>
      <w:r>
        <w:rPr>
          <w:spacing w:val="3"/>
        </w:rPr>
        <w:t xml:space="preserve"> </w:t>
      </w:r>
      <w:r>
        <w:t>("HIPAA")),</w:t>
      </w:r>
      <w:r>
        <w:rPr>
          <w:spacing w:val="1"/>
        </w:rPr>
        <w:t xml:space="preserve"> </w:t>
      </w:r>
      <w:r>
        <w:t>whether to approve an alteration to or waiver of, in whole or in part, the individual</w:t>
      </w:r>
      <w:r>
        <w:rPr>
          <w:spacing w:val="1"/>
        </w:rPr>
        <w:t xml:space="preserve"> </w:t>
      </w:r>
      <w:r>
        <w:t>authorizations required by 45 CFR § 164.508 of</w:t>
      </w:r>
      <w:r>
        <w:rPr>
          <w:spacing w:val="1"/>
        </w:rPr>
        <w:t xml:space="preserve"> </w:t>
      </w:r>
      <w:r>
        <w:t>the Privacy Rules for the use or disclosure</w:t>
      </w:r>
      <w:r w:rsidR="000303C2">
        <w:t xml:space="preserve"> of Protected Health Information (PHI)</w:t>
      </w:r>
      <w:r>
        <w:t>, as defined in 45 CFR § 164.501, and upon request otherwise ensure that the individual</w:t>
      </w:r>
      <w:r>
        <w:rPr>
          <w:spacing w:val="1"/>
        </w:rPr>
        <w:t xml:space="preserve"> </w:t>
      </w:r>
      <w:r>
        <w:t>authorizations provided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consents</w:t>
      </w:r>
      <w:r>
        <w:rPr>
          <w:spacing w:val="1"/>
        </w:rPr>
        <w:t xml:space="preserve"> </w:t>
      </w:r>
      <w:r>
        <w:t>drafted</w:t>
      </w:r>
      <w:r>
        <w:rPr>
          <w:spacing w:val="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 various</w:t>
      </w:r>
      <w:r>
        <w:rPr>
          <w:spacing w:val="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sponsors are</w:t>
      </w:r>
      <w:r>
        <w:rPr>
          <w:spacing w:val="1"/>
        </w:rPr>
        <w:t xml:space="preserve"> </w:t>
      </w:r>
      <w:r>
        <w:t>compliant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Rules;</w:t>
      </w:r>
    </w:p>
    <w:p w14:paraId="77FD63C7" w14:textId="77777777" w:rsidR="00A73C32" w:rsidRDefault="00A73C32">
      <w:pPr>
        <w:pStyle w:val="BodyText"/>
        <w:spacing w:before="7"/>
        <w:rPr>
          <w:sz w:val="19"/>
        </w:rPr>
      </w:pPr>
    </w:p>
    <w:p w14:paraId="4EE9B138" w14:textId="248C51A2" w:rsidR="00A73C32" w:rsidRDefault="00147D9D">
      <w:pPr>
        <w:pStyle w:val="ListParagraph"/>
        <w:numPr>
          <w:ilvl w:val="2"/>
          <w:numId w:val="3"/>
        </w:numPr>
        <w:tabs>
          <w:tab w:val="left" w:pos="1920"/>
        </w:tabs>
        <w:ind w:right="462"/>
      </w:pPr>
      <w:r>
        <w:t>Consider any applicable conflict of interest determinations and associated management</w:t>
      </w:r>
      <w:r>
        <w:rPr>
          <w:spacing w:val="1"/>
        </w:rPr>
        <w:t xml:space="preserve"> </w:t>
      </w:r>
      <w:r>
        <w:t xml:space="preserve">plans provided by </w:t>
      </w:r>
      <w:r w:rsidR="00074447">
        <w:t>Relying Institution</w:t>
      </w:r>
      <w:r>
        <w:t xml:space="preserve"> and ensure that any management plan is </w:t>
      </w:r>
      <w:r w:rsidR="00E80275">
        <w:t xml:space="preserve">incorporated into its review </w:t>
      </w:r>
      <w:r>
        <w:t xml:space="preserve">as </w:t>
      </w:r>
      <w:proofErr w:type="gramStart"/>
      <w:r>
        <w:t>applicable;</w:t>
      </w:r>
      <w:proofErr w:type="gramEnd"/>
    </w:p>
    <w:p w14:paraId="764088C8" w14:textId="77777777" w:rsidR="00A73C32" w:rsidRDefault="00A73C32">
      <w:pPr>
        <w:pStyle w:val="BodyText"/>
        <w:spacing w:before="6"/>
        <w:rPr>
          <w:sz w:val="19"/>
        </w:rPr>
      </w:pPr>
    </w:p>
    <w:p w14:paraId="24CC5FE3" w14:textId="15D2E92A" w:rsidR="00A73C32" w:rsidRDefault="00147D9D" w:rsidP="00E52C60">
      <w:pPr>
        <w:pStyle w:val="ListParagraph"/>
        <w:numPr>
          <w:ilvl w:val="2"/>
          <w:numId w:val="3"/>
        </w:numPr>
        <w:tabs>
          <w:tab w:val="left" w:pos="1919"/>
          <w:tab w:val="left" w:pos="1920"/>
        </w:tabs>
        <w:ind w:right="250"/>
      </w:pPr>
      <w:r>
        <w:t xml:space="preserve">Notify the Principal Investigator of its determinations or review decisions, </w:t>
      </w:r>
      <w:r w:rsidRPr="009A636D">
        <w:t xml:space="preserve">of </w:t>
      </w:r>
      <w:r w:rsidR="00024D75">
        <w:t xml:space="preserve">approval/disapproval of any </w:t>
      </w:r>
      <w:r w:rsidRPr="009A636D">
        <w:t xml:space="preserve">changes </w:t>
      </w:r>
      <w:r w:rsidR="00024D75">
        <w:t>to</w:t>
      </w:r>
      <w:r w:rsidRPr="009A636D">
        <w:t xml:space="preserve"> </w:t>
      </w:r>
      <w:proofErr w:type="gramStart"/>
      <w:r w:rsidRPr="009A636D">
        <w:t>the</w:t>
      </w:r>
      <w:r w:rsidR="00024D75">
        <w:t xml:space="preserve"> </w:t>
      </w:r>
      <w:r w:rsidRPr="009A636D">
        <w:rPr>
          <w:spacing w:val="-48"/>
        </w:rPr>
        <w:t xml:space="preserve"> </w:t>
      </w:r>
      <w:r w:rsidRPr="009A636D">
        <w:t>research</w:t>
      </w:r>
      <w:proofErr w:type="gramEnd"/>
      <w:r w:rsidRPr="009A636D">
        <w:t xml:space="preserve"> reviewed,</w:t>
      </w:r>
      <w:r>
        <w:t xml:space="preserve"> </w:t>
      </w:r>
      <w:r w:rsidR="00860BB6">
        <w:t xml:space="preserve">and </w:t>
      </w:r>
      <w:r>
        <w:t xml:space="preserve">of </w:t>
      </w:r>
      <w:r w:rsidRPr="009A636D">
        <w:t>lapses in IRB approval</w:t>
      </w:r>
      <w:r>
        <w:rPr>
          <w:spacing w:val="1"/>
        </w:rPr>
        <w:t xml:space="preserve"> </w:t>
      </w:r>
      <w:r>
        <w:t>and any applicable corrective plans</w:t>
      </w:r>
      <w:r w:rsidR="00024D75">
        <w:t xml:space="preserve"> (if continuing review is required)</w:t>
      </w:r>
      <w:r>
        <w:t>;</w:t>
      </w:r>
      <w:r w:rsidR="00940AE7">
        <w:t xml:space="preserve"> and</w:t>
      </w:r>
    </w:p>
    <w:p w14:paraId="4F874B6D" w14:textId="77777777" w:rsidR="00A73C32" w:rsidRDefault="00A73C32">
      <w:pPr>
        <w:pStyle w:val="BodyText"/>
        <w:spacing w:before="9"/>
        <w:rPr>
          <w:sz w:val="19"/>
        </w:rPr>
      </w:pPr>
    </w:p>
    <w:p w14:paraId="146564C6" w14:textId="53CC0FCE" w:rsidR="00A73C32" w:rsidRDefault="00147D9D">
      <w:pPr>
        <w:pStyle w:val="ListParagraph"/>
        <w:numPr>
          <w:ilvl w:val="2"/>
          <w:numId w:val="3"/>
        </w:numPr>
        <w:tabs>
          <w:tab w:val="left" w:pos="1919"/>
          <w:tab w:val="left" w:pos="1920"/>
        </w:tabs>
        <w:ind w:right="592"/>
      </w:pPr>
      <w:r>
        <w:t>Maintain records of its membership, its review activities and determinations, and other</w:t>
      </w:r>
      <w:r>
        <w:rPr>
          <w:spacing w:val="-47"/>
        </w:rPr>
        <w:t xml:space="preserve"> </w:t>
      </w:r>
      <w:r>
        <w:t>records as required by applicable laws, rules, and regulations, and make such records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 w:rsidR="00074447">
        <w:rPr>
          <w:spacing w:val="-4"/>
        </w:rPr>
        <w:t xml:space="preserve">during regular business hours </w:t>
      </w:r>
      <w:r>
        <w:t>to</w:t>
      </w:r>
      <w:r>
        <w:rPr>
          <w:spacing w:val="-2"/>
        </w:rPr>
        <w:t xml:space="preserve"> </w:t>
      </w:r>
      <w:r w:rsidR="00074447">
        <w:t>Relying Institution</w:t>
      </w:r>
      <w:r>
        <w:t xml:space="preserve"> upon</w:t>
      </w:r>
      <w:r>
        <w:rPr>
          <w:spacing w:val="-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request</w:t>
      </w:r>
      <w:r w:rsidR="00640816">
        <w:t>.</w:t>
      </w:r>
    </w:p>
    <w:p w14:paraId="10D7C10C" w14:textId="77777777" w:rsidR="00A73C32" w:rsidRDefault="00A73C32">
      <w:pPr>
        <w:pStyle w:val="BodyText"/>
        <w:spacing w:before="9"/>
        <w:rPr>
          <w:sz w:val="19"/>
        </w:rPr>
      </w:pPr>
    </w:p>
    <w:p w14:paraId="401596EB" w14:textId="3B4E9928" w:rsidR="00A73C32" w:rsidRDefault="0039062D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ind w:left="1559" w:right="213"/>
      </w:pPr>
      <w:r w:rsidRPr="0039062D">
        <w:rPr>
          <w:u w:val="single"/>
        </w:rPr>
        <w:t>Notifications</w:t>
      </w:r>
      <w:r>
        <w:t xml:space="preserve">. </w:t>
      </w:r>
      <w:r w:rsidR="00640816">
        <w:t>Reviewing IRB will n</w:t>
      </w:r>
      <w:r w:rsidR="00147D9D" w:rsidRPr="0039062D">
        <w:t>otify</w:t>
      </w:r>
      <w:r w:rsidR="00147D9D">
        <w:t xml:space="preserve"> </w:t>
      </w:r>
      <w:r w:rsidR="00074447">
        <w:t>Relying Institution</w:t>
      </w:r>
      <w:r w:rsidR="00147D9D">
        <w:t xml:space="preserve"> through contact provided in Section 3.2 of any of the following </w:t>
      </w:r>
      <w:r w:rsidR="001664EA">
        <w:t>as it relates to</w:t>
      </w:r>
      <w:r w:rsidR="00940AE7">
        <w:t xml:space="preserve"> each research project</w:t>
      </w:r>
      <w:r w:rsidR="00147D9D">
        <w:t>:</w:t>
      </w:r>
      <w:r w:rsidR="00147D9D">
        <w:rPr>
          <w:spacing w:val="1"/>
        </w:rPr>
        <w:t xml:space="preserve"> </w:t>
      </w:r>
      <w:r w:rsidR="00546E53">
        <w:rPr>
          <w:spacing w:val="1"/>
        </w:rPr>
        <w:t xml:space="preserve">(1) </w:t>
      </w:r>
      <w:r w:rsidR="00147D9D">
        <w:t>serious and/or continuing noncompliance</w:t>
      </w:r>
      <w:r w:rsidR="00546E53">
        <w:t xml:space="preserve">; (2) </w:t>
      </w:r>
      <w:r w:rsidR="00147D9D">
        <w:rPr>
          <w:spacing w:val="-47"/>
        </w:rPr>
        <w:t xml:space="preserve"> </w:t>
      </w:r>
      <w:r w:rsidR="00B81724">
        <w:rPr>
          <w:spacing w:val="-47"/>
        </w:rPr>
        <w:t xml:space="preserve"> </w:t>
      </w:r>
      <w:r w:rsidR="00147D9D">
        <w:t>suspensions, and/or terminations</w:t>
      </w:r>
      <w:r w:rsidR="00546E53">
        <w:t xml:space="preserve">; (3) </w:t>
      </w:r>
      <w:r w:rsidR="00147D9D">
        <w:t>audits</w:t>
      </w:r>
      <w:r w:rsidR="00546E53">
        <w:t>,</w:t>
      </w:r>
      <w:r w:rsidR="00147D9D">
        <w:t xml:space="preserve"> including findings and corrective actions</w:t>
      </w:r>
      <w:r w:rsidR="00546E53">
        <w:t>; (4)</w:t>
      </w:r>
      <w:r w:rsidR="00147D9D">
        <w:t xml:space="preserve"> required</w:t>
      </w:r>
      <w:r w:rsidR="00147D9D">
        <w:rPr>
          <w:spacing w:val="1"/>
        </w:rPr>
        <w:t xml:space="preserve"> </w:t>
      </w:r>
      <w:r w:rsidR="00147D9D">
        <w:t>reporting to a regulatory agency (e.g.</w:t>
      </w:r>
      <w:r w:rsidR="00865038">
        <w:t>,</w:t>
      </w:r>
      <w:r w:rsidR="00147D9D">
        <w:t xml:space="preserve"> OHRP, FDA) and/or communication with regulatory</w:t>
      </w:r>
      <w:r w:rsidR="00147D9D">
        <w:rPr>
          <w:spacing w:val="1"/>
        </w:rPr>
        <w:t xml:space="preserve"> </w:t>
      </w:r>
      <w:r w:rsidR="00147D9D">
        <w:t>agencies.</w:t>
      </w:r>
    </w:p>
    <w:p w14:paraId="174B79A2" w14:textId="77777777" w:rsidR="00A73C32" w:rsidRDefault="00A73C32">
      <w:pPr>
        <w:pStyle w:val="BodyText"/>
        <w:spacing w:before="8"/>
        <w:rPr>
          <w:sz w:val="19"/>
        </w:rPr>
      </w:pPr>
    </w:p>
    <w:p w14:paraId="45860189" w14:textId="6397B481" w:rsidR="00A73C32" w:rsidRDefault="00147D9D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spacing w:before="1"/>
      </w:pPr>
      <w:r>
        <w:rPr>
          <w:u w:val="single"/>
        </w:rPr>
        <w:t>Performance</w:t>
      </w:r>
      <w:r>
        <w:rPr>
          <w:spacing w:val="-2"/>
          <w:u w:val="single"/>
        </w:rPr>
        <w:t xml:space="preserve"> </w:t>
      </w:r>
      <w:r>
        <w:rPr>
          <w:u w:val="single"/>
        </w:rPr>
        <w:t>Standards</w:t>
      </w:r>
      <w:r>
        <w:t>.</w:t>
      </w:r>
      <w:r>
        <w:rPr>
          <w:spacing w:val="4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hereunder,</w:t>
      </w:r>
      <w:r>
        <w:rPr>
          <w:spacing w:val="-3"/>
        </w:rPr>
        <w:t xml:space="preserve"> </w:t>
      </w:r>
      <w:r w:rsidR="008E18BB">
        <w:rPr>
          <w:spacing w:val="-3"/>
        </w:rPr>
        <w:t xml:space="preserve">Reviewing </w:t>
      </w:r>
      <w:r>
        <w:t>IRB</w:t>
      </w:r>
      <w:r>
        <w:rPr>
          <w:spacing w:val="-3"/>
        </w:rPr>
        <w:t xml:space="preserve"> </w:t>
      </w:r>
      <w:r>
        <w:t>shall:</w:t>
      </w:r>
    </w:p>
    <w:p w14:paraId="40F5BBC3" w14:textId="77777777" w:rsidR="00A73C32" w:rsidRDefault="00A73C32">
      <w:pPr>
        <w:pStyle w:val="BodyText"/>
        <w:rPr>
          <w:sz w:val="15"/>
        </w:rPr>
      </w:pPr>
    </w:p>
    <w:p w14:paraId="2E30FD42" w14:textId="77777777" w:rsidR="00A73C32" w:rsidRDefault="00147D9D">
      <w:pPr>
        <w:pStyle w:val="ListParagraph"/>
        <w:numPr>
          <w:ilvl w:val="2"/>
          <w:numId w:val="3"/>
        </w:numPr>
        <w:tabs>
          <w:tab w:val="left" w:pos="1920"/>
        </w:tabs>
        <w:spacing w:before="57"/>
        <w:ind w:right="156"/>
      </w:pPr>
      <w:r>
        <w:t>Act in a manner consistent with the Principles of Ethics as set forth in the Report of the</w:t>
      </w:r>
      <w:r>
        <w:rPr>
          <w:spacing w:val="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Protection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Bio-Medical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entitled</w:t>
      </w:r>
    </w:p>
    <w:p w14:paraId="2870A984" w14:textId="77777777" w:rsidR="00A73C32" w:rsidRDefault="00147D9D">
      <w:pPr>
        <w:pStyle w:val="BodyText"/>
        <w:spacing w:before="37"/>
        <w:ind w:left="1920" w:right="1021"/>
      </w:pPr>
      <w:r>
        <w:rPr>
          <w:u w:val="single"/>
        </w:rPr>
        <w:t>Ethical Principles and Guidelines for the Protection of Human Subjects of Research</w:t>
      </w:r>
      <w:r>
        <w:rPr>
          <w:spacing w:val="-48"/>
        </w:rPr>
        <w:t xml:space="preserve"> </w:t>
      </w:r>
      <w:r>
        <w:lastRenderedPageBreak/>
        <w:t>("Belmont</w:t>
      </w:r>
      <w:r>
        <w:rPr>
          <w:spacing w:val="-3"/>
        </w:rPr>
        <w:t xml:space="preserve"> </w:t>
      </w:r>
      <w:r>
        <w:t>Report") and</w:t>
      </w:r>
      <w:r>
        <w:rPr>
          <w:spacing w:val="-1"/>
        </w:rPr>
        <w:t xml:space="preserve"> </w:t>
      </w:r>
      <w:r>
        <w:t>the Code</w:t>
      </w:r>
      <w:r>
        <w:rPr>
          <w:spacing w:val="-2"/>
        </w:rPr>
        <w:t xml:space="preserve"> </w:t>
      </w:r>
      <w:r>
        <w:t>of Federal</w:t>
      </w:r>
      <w:r>
        <w:rPr>
          <w:spacing w:val="-1"/>
        </w:rPr>
        <w:t xml:space="preserve"> </w:t>
      </w:r>
      <w:r>
        <w:t>Regulations;</w:t>
      </w:r>
      <w:r>
        <w:rPr>
          <w:spacing w:val="1"/>
        </w:rPr>
        <w:t xml:space="preserve"> </w:t>
      </w:r>
      <w:r>
        <w:t>and</w:t>
      </w:r>
    </w:p>
    <w:p w14:paraId="0523ECF2" w14:textId="77777777" w:rsidR="00A73C32" w:rsidRDefault="00A73C32">
      <w:pPr>
        <w:pStyle w:val="BodyText"/>
        <w:spacing w:before="8"/>
        <w:rPr>
          <w:sz w:val="19"/>
        </w:rPr>
      </w:pPr>
    </w:p>
    <w:p w14:paraId="4E45B809" w14:textId="06E18251" w:rsidR="00A73C32" w:rsidRDefault="00147D9D">
      <w:pPr>
        <w:pStyle w:val="ListParagraph"/>
        <w:numPr>
          <w:ilvl w:val="2"/>
          <w:numId w:val="3"/>
        </w:numPr>
        <w:tabs>
          <w:tab w:val="left" w:pos="1921"/>
        </w:tabs>
        <w:ind w:right="226"/>
      </w:pPr>
      <w:r>
        <w:t>Comply with all applicable federal, state</w:t>
      </w:r>
      <w:r w:rsidR="004B32D3">
        <w:t>,</w:t>
      </w:r>
      <w:r>
        <w:t xml:space="preserve"> and local laws, rules</w:t>
      </w:r>
      <w:r w:rsidR="004B32D3">
        <w:t>,</w:t>
      </w:r>
      <w:r>
        <w:t xml:space="preserve"> and regulations including but</w:t>
      </w:r>
      <w:r>
        <w:rPr>
          <w:spacing w:val="1"/>
        </w:rPr>
        <w:t xml:space="preserve"> </w:t>
      </w:r>
      <w:r>
        <w:t xml:space="preserve">not limited </w:t>
      </w:r>
      <w:r w:rsidR="00870CBF">
        <w:t>to</w:t>
      </w:r>
      <w:r w:rsidR="004B32D3">
        <w:t>: (1) 45 CFR Part 46, Subpart A (the Common Rule) governing</w:t>
      </w:r>
      <w:r w:rsidR="004B32D3">
        <w:rPr>
          <w:spacing w:val="1"/>
        </w:rPr>
        <w:t xml:space="preserve"> </w:t>
      </w:r>
      <w:r w:rsidR="004B32D3">
        <w:t>protections for human research subjects; (2) the safety procedures specified in the Federal Food, Drug and</w:t>
      </w:r>
      <w:r w:rsidR="004B32D3">
        <w:rPr>
          <w:spacing w:val="1"/>
        </w:rPr>
        <w:t xml:space="preserve"> </w:t>
      </w:r>
      <w:r w:rsidR="004B32D3">
        <w:t>Cosmetic Act at 21 U.S.C. § 301 et seq.; and (3) 21 CFR Parts 50, 56, 312, and 812</w:t>
      </w:r>
      <w:r w:rsidR="004B32D3">
        <w:rPr>
          <w:spacing w:val="1"/>
        </w:rPr>
        <w:t xml:space="preserve"> </w:t>
      </w:r>
      <w:r w:rsidR="004B32D3">
        <w:t>governing</w:t>
      </w:r>
      <w:r w:rsidR="004B32D3">
        <w:rPr>
          <w:spacing w:val="-2"/>
        </w:rPr>
        <w:t xml:space="preserve"> </w:t>
      </w:r>
      <w:r w:rsidR="004B32D3">
        <w:t>the</w:t>
      </w:r>
      <w:r w:rsidR="004B32D3">
        <w:rPr>
          <w:spacing w:val="1"/>
        </w:rPr>
        <w:t xml:space="preserve"> </w:t>
      </w:r>
      <w:r w:rsidR="004B32D3">
        <w:t>review</w:t>
      </w:r>
      <w:r w:rsidR="004B32D3">
        <w:rPr>
          <w:spacing w:val="-2"/>
        </w:rPr>
        <w:t xml:space="preserve"> </w:t>
      </w:r>
      <w:r w:rsidR="004B32D3">
        <w:t>of</w:t>
      </w:r>
      <w:r w:rsidR="004B32D3">
        <w:rPr>
          <w:spacing w:val="-1"/>
        </w:rPr>
        <w:t xml:space="preserve"> </w:t>
      </w:r>
      <w:r w:rsidR="004B32D3">
        <w:t>research</w:t>
      </w:r>
      <w:r w:rsidR="004B32D3">
        <w:rPr>
          <w:spacing w:val="-1"/>
        </w:rPr>
        <w:t xml:space="preserve"> </w:t>
      </w:r>
      <w:r w:rsidR="004B32D3">
        <w:t>involving</w:t>
      </w:r>
      <w:r w:rsidR="004B32D3">
        <w:rPr>
          <w:spacing w:val="-1"/>
        </w:rPr>
        <w:t xml:space="preserve"> </w:t>
      </w:r>
      <w:r w:rsidR="004B32D3">
        <w:t>human</w:t>
      </w:r>
      <w:r w:rsidR="004B32D3">
        <w:rPr>
          <w:spacing w:val="-2"/>
        </w:rPr>
        <w:t xml:space="preserve"> </w:t>
      </w:r>
      <w:r w:rsidR="004B32D3">
        <w:t>subjects</w:t>
      </w:r>
      <w:r>
        <w:t>.</w:t>
      </w:r>
    </w:p>
    <w:p w14:paraId="63B20CFB" w14:textId="77777777" w:rsidR="00A73C32" w:rsidRDefault="00A73C32">
      <w:pPr>
        <w:pStyle w:val="BodyText"/>
        <w:spacing w:before="7"/>
        <w:rPr>
          <w:sz w:val="19"/>
        </w:rPr>
      </w:pPr>
    </w:p>
    <w:p w14:paraId="40A8DF9C" w14:textId="515669A0" w:rsidR="00A73C32" w:rsidRDefault="00147D9D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ind w:right="503" w:hanging="720"/>
      </w:pPr>
      <w:r>
        <w:rPr>
          <w:u w:val="single"/>
        </w:rPr>
        <w:t>Registration</w:t>
      </w:r>
      <w:r>
        <w:t>.</w:t>
      </w:r>
      <w:r>
        <w:rPr>
          <w:spacing w:val="1"/>
        </w:rPr>
        <w:t xml:space="preserve"> </w:t>
      </w:r>
      <w:r w:rsidR="008E18BB">
        <w:rPr>
          <w:spacing w:val="1"/>
        </w:rPr>
        <w:t xml:space="preserve">Reviewing </w:t>
      </w:r>
      <w:r>
        <w:t>IRB is not responsible for registration of Protocols with clinicaltrials.gov for</w:t>
      </w:r>
      <w:r>
        <w:rPr>
          <w:spacing w:val="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U</w:t>
      </w:r>
      <w:r w:rsidR="003D79FB">
        <w:t>.</w:t>
      </w:r>
      <w:r>
        <w:t>S</w:t>
      </w:r>
      <w:r w:rsidR="003D79FB">
        <w:t>.</w:t>
      </w:r>
      <w:r>
        <w:t>C</w:t>
      </w:r>
      <w:r w:rsidR="003D79FB">
        <w:t>.</w:t>
      </w:r>
      <w:r w:rsidR="004743D8">
        <w:t xml:space="preserve"> §</w:t>
      </w:r>
      <w:r>
        <w:rPr>
          <w:spacing w:val="-1"/>
        </w:rPr>
        <w:t xml:space="preserve"> </w:t>
      </w:r>
      <w:r>
        <w:t>282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</w:t>
      </w:r>
      <w:r w:rsidR="00A32261">
        <w:t>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 w:rsidR="003D79FB">
        <w:t xml:space="preserve"> penalties caused by</w:t>
      </w:r>
      <w:r>
        <w:rPr>
          <w:spacing w:val="-1"/>
        </w:rPr>
        <w:t xml:space="preserve"> </w:t>
      </w:r>
      <w:r>
        <w:t>noncompliance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laws and</w:t>
      </w:r>
      <w:r>
        <w:rPr>
          <w:spacing w:val="-1"/>
        </w:rPr>
        <w:t xml:space="preserve"> </w:t>
      </w:r>
      <w:r>
        <w:t>regulations.</w:t>
      </w:r>
    </w:p>
    <w:p w14:paraId="29974920" w14:textId="77777777" w:rsidR="00A73C32" w:rsidRDefault="00A73C32">
      <w:pPr>
        <w:pStyle w:val="BodyText"/>
        <w:spacing w:before="9"/>
        <w:rPr>
          <w:sz w:val="19"/>
        </w:rPr>
      </w:pPr>
    </w:p>
    <w:p w14:paraId="2BDD2838" w14:textId="3A6F3E71" w:rsidR="00A73C32" w:rsidRDefault="00147D9D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ind w:right="239" w:hanging="720"/>
      </w:pPr>
      <w:r>
        <w:rPr>
          <w:u w:val="single"/>
        </w:rPr>
        <w:t>Data Collection and Management</w:t>
      </w:r>
      <w:r>
        <w:t>.</w:t>
      </w:r>
      <w:r>
        <w:rPr>
          <w:spacing w:val="1"/>
        </w:rPr>
        <w:t xml:space="preserve"> </w:t>
      </w:r>
      <w:r w:rsidR="008E18BB">
        <w:rPr>
          <w:spacing w:val="1"/>
        </w:rPr>
        <w:t xml:space="preserve">Reviewing </w:t>
      </w:r>
      <w:r>
        <w:t>IRB is not responsible for compliance with the</w:t>
      </w:r>
      <w:r w:rsidR="00B428A2">
        <w:t xml:space="preserve"> requirements of </w:t>
      </w:r>
      <w:r w:rsidR="00A959E7">
        <w:t xml:space="preserve">any </w:t>
      </w:r>
      <w:r w:rsidR="00B428A2">
        <w:t>applicable</w:t>
      </w:r>
      <w:r>
        <w:t xml:space="preserve"> federal, state, and local laws, rules, and regulations regarding electronic data</w:t>
      </w:r>
      <w:r>
        <w:rPr>
          <w:spacing w:val="1"/>
        </w:rPr>
        <w:t xml:space="preserve"> </w:t>
      </w:r>
      <w:r>
        <w:t>management, including but not limited to</w:t>
      </w:r>
      <w:r w:rsidR="00674468">
        <w:t>: (1)</w:t>
      </w:r>
      <w:r>
        <w:t xml:space="preserve"> the Privacy Rules</w:t>
      </w:r>
      <w:r w:rsidR="00674468">
        <w:t xml:space="preserve"> at</w:t>
      </w:r>
      <w:r>
        <w:t xml:space="preserve"> 45 CFR Part 146</w:t>
      </w:r>
      <w:r w:rsidR="00674468">
        <w:t>;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674468">
        <w:rPr>
          <w:spacing w:val="-1"/>
        </w:rPr>
        <w:t xml:space="preserve">(2) rules governing electronic records at </w:t>
      </w:r>
      <w:r>
        <w:t>21</w:t>
      </w:r>
      <w:r>
        <w:rPr>
          <w:spacing w:val="1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11.</w:t>
      </w:r>
    </w:p>
    <w:p w14:paraId="5E5CACC8" w14:textId="77777777" w:rsidR="00A73C32" w:rsidRDefault="00A73C32">
      <w:pPr>
        <w:pStyle w:val="BodyText"/>
        <w:spacing w:before="11"/>
        <w:rPr>
          <w:sz w:val="19"/>
        </w:rPr>
      </w:pPr>
    </w:p>
    <w:p w14:paraId="245D5697" w14:textId="750B1C63" w:rsidR="00A73C32" w:rsidRDefault="008E18BB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spacing w:line="237" w:lineRule="auto"/>
        <w:ind w:right="278"/>
      </w:pPr>
      <w:r>
        <w:t xml:space="preserve">Reviewing </w:t>
      </w:r>
      <w:r w:rsidR="00147D9D">
        <w:t>IRB</w:t>
      </w:r>
      <w:r>
        <w:rPr>
          <w:spacing w:val="-2"/>
        </w:rPr>
        <w:t xml:space="preserve"> </w:t>
      </w:r>
      <w:r w:rsidR="00147D9D">
        <w:t>is</w:t>
      </w:r>
      <w:r w:rsidR="00147D9D">
        <w:rPr>
          <w:spacing w:val="-2"/>
        </w:rPr>
        <w:t xml:space="preserve"> </w:t>
      </w:r>
      <w:r w:rsidR="00147D9D">
        <w:t>responsible</w:t>
      </w:r>
      <w:r w:rsidR="00147D9D">
        <w:rPr>
          <w:spacing w:val="-4"/>
        </w:rPr>
        <w:t xml:space="preserve"> </w:t>
      </w:r>
      <w:r w:rsidR="00147D9D">
        <w:t>only</w:t>
      </w:r>
      <w:r w:rsidR="00147D9D">
        <w:rPr>
          <w:spacing w:val="-3"/>
        </w:rPr>
        <w:t xml:space="preserve"> </w:t>
      </w:r>
      <w:r w:rsidR="00147D9D">
        <w:t>for</w:t>
      </w:r>
      <w:r w:rsidR="00147D9D">
        <w:rPr>
          <w:spacing w:val="-7"/>
        </w:rPr>
        <w:t xml:space="preserve"> </w:t>
      </w:r>
      <w:r w:rsidR="00147D9D">
        <w:t>providing</w:t>
      </w:r>
      <w:r w:rsidR="00147D9D">
        <w:rPr>
          <w:spacing w:val="-2"/>
        </w:rPr>
        <w:t xml:space="preserve"> </w:t>
      </w:r>
      <w:r w:rsidR="00147D9D">
        <w:t>the</w:t>
      </w:r>
      <w:r w:rsidR="00147D9D">
        <w:rPr>
          <w:spacing w:val="-4"/>
        </w:rPr>
        <w:t xml:space="preserve"> </w:t>
      </w:r>
      <w:r w:rsidR="00147D9D">
        <w:t>IRB</w:t>
      </w:r>
      <w:r w:rsidR="00147D9D">
        <w:rPr>
          <w:spacing w:val="-2"/>
        </w:rPr>
        <w:t xml:space="preserve"> </w:t>
      </w:r>
      <w:r w:rsidR="00147D9D">
        <w:t>Services</w:t>
      </w:r>
      <w:r w:rsidR="00147D9D">
        <w:rPr>
          <w:spacing w:val="-1"/>
        </w:rPr>
        <w:t xml:space="preserve"> </w:t>
      </w:r>
      <w:r w:rsidR="0039062D">
        <w:rPr>
          <w:spacing w:val="-1"/>
        </w:rPr>
        <w:t xml:space="preserve">and other obligations </w:t>
      </w:r>
      <w:r w:rsidR="00147D9D">
        <w:t>specified</w:t>
      </w:r>
      <w:r w:rsidR="00147D9D">
        <w:rPr>
          <w:spacing w:val="-3"/>
        </w:rPr>
        <w:t xml:space="preserve"> </w:t>
      </w:r>
      <w:r w:rsidR="0039062D">
        <w:t>in Section I</w:t>
      </w:r>
      <w:r w:rsidR="0039062D">
        <w:rPr>
          <w:spacing w:val="-3"/>
        </w:rPr>
        <w:t xml:space="preserve"> </w:t>
      </w:r>
      <w:r w:rsidR="00147D9D">
        <w:t>and</w:t>
      </w:r>
      <w:r w:rsidR="00147D9D">
        <w:rPr>
          <w:spacing w:val="-2"/>
        </w:rPr>
        <w:t xml:space="preserve"> </w:t>
      </w:r>
      <w:r w:rsidR="00147D9D">
        <w:t>accepts</w:t>
      </w:r>
      <w:r w:rsidR="00147D9D">
        <w:rPr>
          <w:spacing w:val="-4"/>
        </w:rPr>
        <w:t xml:space="preserve"> </w:t>
      </w:r>
      <w:r w:rsidR="00147D9D">
        <w:t>no</w:t>
      </w:r>
      <w:r w:rsidR="00147D9D">
        <w:rPr>
          <w:spacing w:val="-1"/>
        </w:rPr>
        <w:t xml:space="preserve"> </w:t>
      </w:r>
      <w:r w:rsidR="00147D9D">
        <w:t>additional</w:t>
      </w:r>
      <w:r>
        <w:t xml:space="preserve"> responsibilities </w:t>
      </w:r>
      <w:r w:rsidR="00147D9D">
        <w:t>not</w:t>
      </w:r>
      <w:r w:rsidR="00147D9D">
        <w:rPr>
          <w:spacing w:val="1"/>
        </w:rPr>
        <w:t xml:space="preserve"> </w:t>
      </w:r>
      <w:r w:rsidR="00147D9D">
        <w:t>herein</w:t>
      </w:r>
      <w:r w:rsidR="00147D9D">
        <w:rPr>
          <w:spacing w:val="-5"/>
        </w:rPr>
        <w:t xml:space="preserve"> </w:t>
      </w:r>
      <w:r w:rsidR="00147D9D">
        <w:t>described.</w:t>
      </w:r>
    </w:p>
    <w:p w14:paraId="1372DC22" w14:textId="77777777" w:rsidR="00450A0B" w:rsidRDefault="00450A0B" w:rsidP="00E24591">
      <w:pPr>
        <w:pStyle w:val="ListParagraph"/>
      </w:pPr>
    </w:p>
    <w:p w14:paraId="464D02D7" w14:textId="1F505DEB" w:rsidR="00450A0B" w:rsidRDefault="00450A0B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spacing w:line="237" w:lineRule="auto"/>
        <w:ind w:right="278"/>
      </w:pPr>
      <w:r>
        <w:t xml:space="preserve">Reviewing IRB certifies that they are </w:t>
      </w:r>
      <w:r w:rsidR="00A959E7">
        <w:t xml:space="preserve">an </w:t>
      </w:r>
      <w:r w:rsidR="00F23494" w:rsidRPr="00F23494">
        <w:t>Association for the Accreditation of Human Research Protection Programs, Inc. (</w:t>
      </w:r>
      <w:r w:rsidR="005A3DD1">
        <w:t>A</w:t>
      </w:r>
      <w:r w:rsidR="00F23494" w:rsidRPr="00F23494">
        <w:t>AHR</w:t>
      </w:r>
      <w:r w:rsidR="005A3DD1">
        <w:t>P</w:t>
      </w:r>
      <w:r w:rsidR="00F23494" w:rsidRPr="00F23494">
        <w:t>P)</w:t>
      </w:r>
      <w:r w:rsidR="00F23494">
        <w:t>-accredited</w:t>
      </w:r>
      <w:r>
        <w:t xml:space="preserve"> </w:t>
      </w:r>
      <w:r w:rsidR="00A959E7">
        <w:t>IRB</w:t>
      </w:r>
      <w:r>
        <w:t xml:space="preserve"> and will </w:t>
      </w:r>
      <w:r w:rsidR="00F23494">
        <w:t xml:space="preserve">maintain an accreditation status of “Full Accreditation” </w:t>
      </w:r>
      <w:r>
        <w:t>throughout the term of th</w:t>
      </w:r>
      <w:r w:rsidR="00A959E7">
        <w:t>is A</w:t>
      </w:r>
      <w:r>
        <w:t>greement.</w:t>
      </w:r>
    </w:p>
    <w:p w14:paraId="2BCFA1D8" w14:textId="77777777" w:rsidR="00A73C32" w:rsidRDefault="00A73C32">
      <w:pPr>
        <w:pStyle w:val="BodyText"/>
        <w:spacing w:before="9"/>
        <w:rPr>
          <w:sz w:val="19"/>
        </w:rPr>
      </w:pPr>
    </w:p>
    <w:p w14:paraId="57809DC7" w14:textId="65443052" w:rsidR="00A73C32" w:rsidRDefault="00147D9D">
      <w:pPr>
        <w:pStyle w:val="Heading1"/>
        <w:numPr>
          <w:ilvl w:val="0"/>
          <w:numId w:val="4"/>
        </w:numPr>
        <w:tabs>
          <w:tab w:val="left" w:pos="839"/>
          <w:tab w:val="left" w:pos="840"/>
        </w:tabs>
      </w:pPr>
      <w:r>
        <w:t>Obligations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8C4B95">
        <w:t>Relying Institution.</w:t>
      </w:r>
    </w:p>
    <w:p w14:paraId="7C31D1FA" w14:textId="77777777" w:rsidR="00A73C32" w:rsidRDefault="00A73C32">
      <w:pPr>
        <w:pStyle w:val="BodyText"/>
        <w:spacing w:before="9"/>
        <w:rPr>
          <w:b/>
          <w:sz w:val="19"/>
        </w:rPr>
      </w:pPr>
    </w:p>
    <w:p w14:paraId="1E51593C" w14:textId="7EE9A3A7" w:rsidR="00A73C32" w:rsidRDefault="00147D9D">
      <w:pPr>
        <w:pStyle w:val="ListParagraph"/>
        <w:numPr>
          <w:ilvl w:val="1"/>
          <w:numId w:val="2"/>
        </w:numPr>
        <w:tabs>
          <w:tab w:val="left" w:pos="1559"/>
          <w:tab w:val="left" w:pos="1561"/>
        </w:tabs>
        <w:ind w:hanging="722"/>
      </w:pPr>
      <w:r>
        <w:t>For</w:t>
      </w:r>
      <w:r>
        <w:rPr>
          <w:spacing w:val="-2"/>
        </w:rPr>
        <w:t xml:space="preserve"> </w:t>
      </w:r>
      <w:r w:rsidR="009C3313">
        <w:t>each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 w:rsidR="009C3313">
        <w:rPr>
          <w:spacing w:val="-3"/>
        </w:rPr>
        <w:t>project</w:t>
      </w:r>
      <w:r>
        <w:t>,</w:t>
      </w:r>
      <w:r>
        <w:rPr>
          <w:spacing w:val="-2"/>
        </w:rPr>
        <w:t xml:space="preserve"> </w:t>
      </w:r>
      <w:r w:rsidR="007B6849">
        <w:t>Relying Institution</w:t>
      </w:r>
      <w:r>
        <w:rPr>
          <w:spacing w:val="-1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to:</w:t>
      </w:r>
    </w:p>
    <w:p w14:paraId="779968D3" w14:textId="77777777" w:rsidR="00EE55DD" w:rsidRDefault="00EE55DD" w:rsidP="00E24591">
      <w:pPr>
        <w:pStyle w:val="ListParagraph"/>
        <w:tabs>
          <w:tab w:val="left" w:pos="1559"/>
          <w:tab w:val="left" w:pos="1561"/>
        </w:tabs>
        <w:ind w:left="1560" w:firstLine="0"/>
      </w:pPr>
    </w:p>
    <w:p w14:paraId="053A6969" w14:textId="2B436412" w:rsidR="00EE55DD" w:rsidRDefault="00EE55DD" w:rsidP="00E24591">
      <w:pPr>
        <w:pStyle w:val="ListParagraph"/>
        <w:numPr>
          <w:ilvl w:val="2"/>
          <w:numId w:val="2"/>
        </w:numPr>
        <w:tabs>
          <w:tab w:val="left" w:pos="1559"/>
          <w:tab w:val="left" w:pos="1561"/>
        </w:tabs>
      </w:pPr>
      <w:r>
        <w:t>Relying I</w:t>
      </w:r>
      <w:r w:rsidR="00A12977">
        <w:t>nstitution</w:t>
      </w:r>
      <w:r>
        <w:t xml:space="preserve"> agrees to </w:t>
      </w:r>
      <w:proofErr w:type="gramStart"/>
      <w:r>
        <w:t>submit an application</w:t>
      </w:r>
      <w:proofErr w:type="gramEnd"/>
      <w:r w:rsidR="00E24591">
        <w:t xml:space="preserve"> to Reviewing IRB</w:t>
      </w:r>
      <w:r>
        <w:t>.</w:t>
      </w:r>
    </w:p>
    <w:p w14:paraId="31D91E8D" w14:textId="77777777" w:rsidR="00A73C32" w:rsidRDefault="00A73C32">
      <w:pPr>
        <w:pStyle w:val="BodyText"/>
        <w:spacing w:before="8"/>
        <w:rPr>
          <w:sz w:val="19"/>
        </w:rPr>
      </w:pPr>
    </w:p>
    <w:p w14:paraId="7175D332" w14:textId="643846DC" w:rsidR="00A73C32" w:rsidRDefault="00147D9D">
      <w:pPr>
        <w:pStyle w:val="ListParagraph"/>
        <w:numPr>
          <w:ilvl w:val="2"/>
          <w:numId w:val="2"/>
        </w:numPr>
        <w:tabs>
          <w:tab w:val="left" w:pos="1920"/>
        </w:tabs>
        <w:ind w:right="220"/>
      </w:pPr>
      <w:r>
        <w:t xml:space="preserve">Ensure investigators are appropriately qualified and meet </w:t>
      </w:r>
      <w:r w:rsidR="007B6849">
        <w:t>Relying Institution’s</w:t>
      </w:r>
      <w:r>
        <w:t xml:space="preserve"> standards for</w:t>
      </w:r>
      <w:r>
        <w:rPr>
          <w:spacing w:val="1"/>
        </w:rPr>
        <w:t xml:space="preserve"> </w:t>
      </w:r>
      <w:r>
        <w:t>eligibility to conduct research including</w:t>
      </w:r>
      <w:r w:rsidR="00A356E4">
        <w:t>,</w:t>
      </w:r>
      <w:r>
        <w:t xml:space="preserve"> but not limited to</w:t>
      </w:r>
      <w:r w:rsidR="00A356E4">
        <w:t>,</w:t>
      </w:r>
      <w:r>
        <w:t xml:space="preserve"> completion of human </w:t>
      </w:r>
      <w:proofErr w:type="gramStart"/>
      <w:r>
        <w:t>subjects</w:t>
      </w:r>
      <w:proofErr w:type="gramEnd"/>
      <w:r>
        <w:rPr>
          <w:spacing w:val="1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training</w:t>
      </w:r>
      <w:r w:rsidR="0065176B"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forms;</w:t>
      </w:r>
    </w:p>
    <w:p w14:paraId="50342C69" w14:textId="77777777" w:rsidR="00A73C32" w:rsidRDefault="00A73C32">
      <w:pPr>
        <w:pStyle w:val="BodyText"/>
      </w:pPr>
    </w:p>
    <w:p w14:paraId="7C988CBC" w14:textId="3E92E0A0" w:rsidR="00A73C32" w:rsidRDefault="00147D9D">
      <w:pPr>
        <w:pStyle w:val="ListParagraph"/>
        <w:numPr>
          <w:ilvl w:val="2"/>
          <w:numId w:val="2"/>
        </w:numPr>
        <w:tabs>
          <w:tab w:val="left" w:pos="1921"/>
        </w:tabs>
        <w:spacing w:before="1"/>
        <w:ind w:left="1920" w:right="243" w:hanging="361"/>
      </w:pPr>
      <w:r>
        <w:t>Communicate</w:t>
      </w:r>
      <w:r w:rsidR="00633CA0">
        <w:t xml:space="preserve"> to Reviewing IRB</w:t>
      </w:r>
      <w:r w:rsidR="009C3313">
        <w:t xml:space="preserve">, </w:t>
      </w:r>
      <w:r w:rsidR="00633CA0">
        <w:t xml:space="preserve">on the IRB application </w:t>
      </w:r>
      <w:r w:rsidR="009C3313">
        <w:t>for each research project,</w:t>
      </w:r>
      <w:r>
        <w:t xml:space="preserve"> local context information</w:t>
      </w:r>
      <w:r w:rsidR="00633CA0">
        <w:t>,</w:t>
      </w:r>
      <w:r>
        <w:t xml:space="preserve"> including requirements of any applicable state or</w:t>
      </w:r>
      <w:r>
        <w:rPr>
          <w:spacing w:val="1"/>
        </w:rPr>
        <w:t xml:space="preserve"> </w:t>
      </w:r>
      <w:r>
        <w:t>local laws, regulations, institutional policies, standards</w:t>
      </w:r>
      <w:r w:rsidR="009C3313">
        <w:t>,</w:t>
      </w:r>
      <w:r>
        <w:t xml:space="preserve"> or other local factors relevant to </w:t>
      </w:r>
      <w:proofErr w:type="gramStart"/>
      <w:r w:rsidR="00A356E4">
        <w:t>each</w:t>
      </w:r>
      <w:r w:rsidR="009C3313">
        <w:t xml:space="preserve"> </w:t>
      </w:r>
      <w:r>
        <w:rPr>
          <w:spacing w:val="-48"/>
        </w:rPr>
        <w:t xml:space="preserve"> </w:t>
      </w:r>
      <w:r>
        <w:t>research</w:t>
      </w:r>
      <w:proofErr w:type="gramEnd"/>
      <w:r w:rsidR="00A356E4">
        <w:t xml:space="preserve"> project</w:t>
      </w:r>
      <w:r>
        <w:t>;</w:t>
      </w:r>
    </w:p>
    <w:p w14:paraId="035C0B47" w14:textId="77777777" w:rsidR="00A73C32" w:rsidRDefault="00A73C32">
      <w:pPr>
        <w:pStyle w:val="BodyText"/>
        <w:spacing w:before="10"/>
        <w:rPr>
          <w:sz w:val="21"/>
        </w:rPr>
      </w:pPr>
    </w:p>
    <w:p w14:paraId="7D294362" w14:textId="0412066A" w:rsidR="00A73C32" w:rsidRDefault="00147D9D">
      <w:pPr>
        <w:pStyle w:val="ListParagraph"/>
        <w:numPr>
          <w:ilvl w:val="2"/>
          <w:numId w:val="2"/>
        </w:numPr>
        <w:tabs>
          <w:tab w:val="left" w:pos="1920"/>
          <w:tab w:val="left" w:pos="1921"/>
        </w:tabs>
        <w:ind w:left="1920" w:right="217"/>
      </w:pPr>
      <w:r>
        <w:t xml:space="preserve">Ensure compliance with </w:t>
      </w:r>
      <w:r w:rsidR="00504277">
        <w:t xml:space="preserve">Reviewing </w:t>
      </w:r>
      <w:r>
        <w:t>IRB’s determinations</w:t>
      </w:r>
      <w:r w:rsidR="007B3137">
        <w:t>,</w:t>
      </w:r>
      <w:r w:rsidR="00516F59">
        <w:t xml:space="preserve"> provided there</w:t>
      </w:r>
      <w:r w:rsidR="007B3137">
        <w:t xml:space="preserve"> are</w:t>
      </w:r>
      <w:r w:rsidR="00516F59">
        <w:t xml:space="preserve"> no </w:t>
      </w:r>
      <w:r w:rsidR="007B3137">
        <w:t xml:space="preserve">legal or policy concerns </w:t>
      </w:r>
      <w:r w:rsidR="004E5AD8">
        <w:t>that would arise with</w:t>
      </w:r>
      <w:r w:rsidR="007B3137">
        <w:t xml:space="preserve"> compliance. In the event Relying </w:t>
      </w:r>
      <w:r w:rsidR="0009027F">
        <w:t>Institution</w:t>
      </w:r>
      <w:r w:rsidR="007B3137">
        <w:t xml:space="preserve"> identifies legal or policy concerns that would arise with compliance, Relying </w:t>
      </w:r>
      <w:r w:rsidR="00A12977">
        <w:t>Institution</w:t>
      </w:r>
      <w:r w:rsidR="007B3137">
        <w:t xml:space="preserve"> and Reviewing IRB shall </w:t>
      </w:r>
      <w:r w:rsidR="00E638C0">
        <w:t>address</w:t>
      </w:r>
      <w:r w:rsidR="007B3137">
        <w:t xml:space="preserve"> those concerns and make a good faith effort to </w:t>
      </w:r>
      <w:r w:rsidR="00E638C0">
        <w:t>resolve</w:t>
      </w:r>
      <w:r w:rsidR="007B3137">
        <w:t xml:space="preserve"> them</w:t>
      </w:r>
      <w:r w:rsidR="007B3137" w:rsidRPr="002B3835">
        <w:t>. I</w:t>
      </w:r>
      <w:r w:rsidR="00516F59" w:rsidRPr="002B3835">
        <w:t xml:space="preserve">f </w:t>
      </w:r>
      <w:r w:rsidR="007B3137" w:rsidRPr="002B3835">
        <w:t>Relying I</w:t>
      </w:r>
      <w:r w:rsidR="00A12977" w:rsidRPr="002B3835">
        <w:t>nstitution</w:t>
      </w:r>
      <w:r w:rsidR="007B3137" w:rsidRPr="002B3835">
        <w:t xml:space="preserve">’s concerns cannot be </w:t>
      </w:r>
      <w:r w:rsidR="00E638C0" w:rsidRPr="002B3835">
        <w:t>resolved</w:t>
      </w:r>
      <w:r w:rsidR="007B3137" w:rsidRPr="002B3835">
        <w:t xml:space="preserve"> in a mutually acceptable way, Re</w:t>
      </w:r>
      <w:r w:rsidR="004F58FD">
        <w:t>lying Institution will</w:t>
      </w:r>
      <w:r w:rsidR="007B3137" w:rsidRPr="002B3835">
        <w:t xml:space="preserve"> withdraw</w:t>
      </w:r>
      <w:r w:rsidR="00E30FD4">
        <w:t xml:space="preserve"> its IRB application for </w:t>
      </w:r>
      <w:r w:rsidR="007B3137" w:rsidRPr="002B3835">
        <w:t>that research project</w:t>
      </w:r>
      <w:r w:rsidR="007B3137">
        <w:t xml:space="preserve">. </w:t>
      </w:r>
      <w:r w:rsidR="00A356E4">
        <w:t xml:space="preserve">Relying institution will also comply </w:t>
      </w:r>
      <w:r>
        <w:t>with all applicable federal, state</w:t>
      </w:r>
      <w:r w:rsidR="009C3313">
        <w:t>,</w:t>
      </w:r>
      <w:r>
        <w:t xml:space="preserve"> and local</w:t>
      </w:r>
      <w:r>
        <w:rPr>
          <w:spacing w:val="-47"/>
        </w:rPr>
        <w:t xml:space="preserve"> </w:t>
      </w:r>
      <w:r w:rsidR="00504277">
        <w:rPr>
          <w:spacing w:val="-47"/>
        </w:rPr>
        <w:t xml:space="preserve">      </w:t>
      </w:r>
      <w:r w:rsidR="00504277">
        <w:t xml:space="preserve"> l</w:t>
      </w:r>
      <w:r>
        <w:t>aws, rules</w:t>
      </w:r>
      <w:r w:rsidR="00A356E4">
        <w:t>,</w:t>
      </w:r>
      <w:r>
        <w:t xml:space="preserve"> and regulations, including but not limited to</w:t>
      </w:r>
      <w:r w:rsidR="00433CC2">
        <w:t>:</w:t>
      </w:r>
      <w:r>
        <w:t xml:space="preserve"> </w:t>
      </w:r>
      <w:r w:rsidR="00433CC2">
        <w:t xml:space="preserve">(1) </w:t>
      </w:r>
      <w:r>
        <w:t>45 CFR Part 46</w:t>
      </w:r>
      <w:r w:rsidR="00433CC2">
        <w:t>, Subpart A (the Common Rule)</w:t>
      </w:r>
      <w:r>
        <w:t xml:space="preserve"> governing</w:t>
      </w:r>
      <w:r>
        <w:rPr>
          <w:spacing w:val="1"/>
        </w:rPr>
        <w:t xml:space="preserve"> </w:t>
      </w:r>
      <w:r>
        <w:t>protection</w:t>
      </w:r>
      <w:r w:rsidR="00433CC2">
        <w:t>s</w:t>
      </w:r>
      <w:r>
        <w:t xml:space="preserve"> </w:t>
      </w:r>
      <w:r w:rsidR="00433CC2">
        <w:t xml:space="preserve">for </w:t>
      </w:r>
      <w:r w:rsidR="00840510">
        <w:t xml:space="preserve">human </w:t>
      </w:r>
      <w:r w:rsidR="00433CC2">
        <w:t>research</w:t>
      </w:r>
      <w:r>
        <w:t xml:space="preserve"> subjects</w:t>
      </w:r>
      <w:r w:rsidR="00433CC2">
        <w:t>; (2)</w:t>
      </w:r>
      <w:r>
        <w:t xml:space="preserve"> the</w:t>
      </w:r>
      <w:r w:rsidR="0045248E">
        <w:t xml:space="preserve"> safety</w:t>
      </w:r>
      <w:r>
        <w:t xml:space="preserve"> procedures specified in the Federal Food, Drug and</w:t>
      </w:r>
      <w:r>
        <w:rPr>
          <w:spacing w:val="1"/>
        </w:rPr>
        <w:t xml:space="preserve"> </w:t>
      </w:r>
      <w:r>
        <w:t>Cosmetic Act</w:t>
      </w:r>
      <w:r w:rsidR="009945D3">
        <w:t xml:space="preserve"> at</w:t>
      </w:r>
      <w:r>
        <w:t xml:space="preserve"> 21 U</w:t>
      </w:r>
      <w:r w:rsidR="00433CC2">
        <w:t>.</w:t>
      </w:r>
      <w:r>
        <w:t>S</w:t>
      </w:r>
      <w:r w:rsidR="00433CC2">
        <w:t>.</w:t>
      </w:r>
      <w:r>
        <w:t>C</w:t>
      </w:r>
      <w:r w:rsidR="00433CC2">
        <w:t>.</w:t>
      </w:r>
      <w:r>
        <w:t xml:space="preserve"> § 3</w:t>
      </w:r>
      <w:r w:rsidR="00840510">
        <w:t>0</w:t>
      </w:r>
      <w:r>
        <w:t>1 et seq.</w:t>
      </w:r>
      <w:r w:rsidR="00433CC2">
        <w:t>;</w:t>
      </w:r>
      <w:r>
        <w:t xml:space="preserve"> and </w:t>
      </w:r>
      <w:r w:rsidR="00433CC2">
        <w:t xml:space="preserve">(3) </w:t>
      </w:r>
      <w:r>
        <w:t>21 CFR Part</w:t>
      </w:r>
      <w:r w:rsidR="00840510">
        <w:t>s</w:t>
      </w:r>
      <w:r>
        <w:t xml:space="preserve"> 50, 56, 312, and 812</w:t>
      </w:r>
      <w:r>
        <w:rPr>
          <w:spacing w:val="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subjects;</w:t>
      </w:r>
    </w:p>
    <w:p w14:paraId="330B0754" w14:textId="77777777" w:rsidR="00A73C32" w:rsidRDefault="00A73C32">
      <w:pPr>
        <w:pStyle w:val="BodyText"/>
        <w:spacing w:before="1"/>
      </w:pPr>
    </w:p>
    <w:p w14:paraId="4924FDC1" w14:textId="4ED45DCB" w:rsidR="00A73C32" w:rsidRDefault="00147D9D">
      <w:pPr>
        <w:pStyle w:val="ListParagraph"/>
        <w:numPr>
          <w:ilvl w:val="2"/>
          <w:numId w:val="2"/>
        </w:numPr>
        <w:tabs>
          <w:tab w:val="left" w:pos="1921"/>
        </w:tabs>
        <w:ind w:right="280"/>
      </w:pPr>
      <w:r>
        <w:t>Ensure appropriate monitoring of research</w:t>
      </w:r>
      <w:r w:rsidR="00935EC5">
        <w:t xml:space="preserve"> and </w:t>
      </w:r>
      <w:r>
        <w:t xml:space="preserve">conduct </w:t>
      </w:r>
      <w:r w:rsidR="00633CA0">
        <w:t xml:space="preserve">internal </w:t>
      </w:r>
      <w:r w:rsidR="004B5699">
        <w:t>checklists upon</w:t>
      </w:r>
      <w:r w:rsidR="00935EC5">
        <w:t xml:space="preserve"> </w:t>
      </w:r>
      <w:r w:rsidR="00A356E4">
        <w:t>R</w:t>
      </w:r>
      <w:r w:rsidR="00935EC5">
        <w:t xml:space="preserve">eviewing </w:t>
      </w:r>
      <w:r w:rsidR="00935EC5">
        <w:lastRenderedPageBreak/>
        <w:t>IRB’s request</w:t>
      </w:r>
      <w:r w:rsidR="004E5AD8">
        <w:t xml:space="preserve">, provided there are no legal or policy concerns that would arise with compliance. In the event </w:t>
      </w:r>
      <w:r w:rsidR="0042178F">
        <w:t>R</w:t>
      </w:r>
      <w:r w:rsidR="004E5AD8">
        <w:t>elying I</w:t>
      </w:r>
      <w:r w:rsidR="00A12977">
        <w:t>nstitution</w:t>
      </w:r>
      <w:r w:rsidR="004E5AD8">
        <w:t xml:space="preserve"> identifies legal or policy concerns that would arise with compliance</w:t>
      </w:r>
      <w:r w:rsidR="008C148F">
        <w:t>, Relying Institution and Reviewing IRB shall address those concerns and make a good faith effort to resolve them</w:t>
      </w:r>
      <w:r w:rsidR="008C148F" w:rsidRPr="002B3835">
        <w:t xml:space="preserve">. If Relying Institution’s concerns cannot be resolved in a mutually acceptable way, Reviewing IRB may withdraw from that research </w:t>
      </w:r>
      <w:proofErr w:type="gramStart"/>
      <w:r w:rsidR="008C148F" w:rsidRPr="002B3835">
        <w:t>project</w:t>
      </w:r>
      <w:r w:rsidR="00813974">
        <w:t>;</w:t>
      </w:r>
      <w:proofErr w:type="gramEnd"/>
    </w:p>
    <w:p w14:paraId="2B279F98" w14:textId="77777777" w:rsidR="00A73C32" w:rsidRDefault="00A73C32">
      <w:pPr>
        <w:pStyle w:val="BodyText"/>
        <w:spacing w:before="6"/>
        <w:rPr>
          <w:sz w:val="19"/>
        </w:rPr>
      </w:pPr>
    </w:p>
    <w:p w14:paraId="2A2252D3" w14:textId="593FE8A9" w:rsidR="00A73C32" w:rsidRDefault="00147D9D">
      <w:pPr>
        <w:pStyle w:val="ListParagraph"/>
        <w:numPr>
          <w:ilvl w:val="2"/>
          <w:numId w:val="2"/>
        </w:numPr>
        <w:tabs>
          <w:tab w:val="left" w:pos="1920"/>
        </w:tabs>
        <w:ind w:right="213"/>
      </w:pPr>
      <w:r>
        <w:t>Maintain policies regarding disclosure and management of conflicts of interest, review and</w:t>
      </w:r>
      <w:r>
        <w:rPr>
          <w:spacing w:val="1"/>
        </w:rPr>
        <w:t xml:space="preserve"> </w:t>
      </w:r>
      <w:r>
        <w:t>manage conflicts of interest upon disclosure, and communicate resulting conflict of interest</w:t>
      </w:r>
      <w:r>
        <w:rPr>
          <w:spacing w:val="-47"/>
        </w:rPr>
        <w:t xml:space="preserve"> </w:t>
      </w:r>
      <w:r>
        <w:t>determinations,</w:t>
      </w:r>
      <w:r>
        <w:rPr>
          <w:spacing w:val="-2"/>
        </w:rPr>
        <w:t xml:space="preserve"> </w:t>
      </w:r>
      <w:r>
        <w:t>prohibitions,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 xml:space="preserve">to </w:t>
      </w:r>
      <w:r w:rsidR="00A356E4">
        <w:rPr>
          <w:spacing w:val="-3"/>
        </w:rPr>
        <w:t xml:space="preserve">each </w:t>
      </w:r>
      <w:r>
        <w:t>research</w:t>
      </w:r>
      <w:r w:rsidR="00A356E4">
        <w:t xml:space="preserve"> project</w:t>
      </w:r>
      <w:r>
        <w:rPr>
          <w:spacing w:val="-3"/>
        </w:rPr>
        <w:t xml:space="preserve"> </w:t>
      </w:r>
      <w:r>
        <w:t>to</w:t>
      </w:r>
      <w:r w:rsidR="00504277">
        <w:t xml:space="preserve"> Reviewing</w:t>
      </w:r>
      <w:r>
        <w:t xml:space="preserve"> </w:t>
      </w:r>
      <w:proofErr w:type="gramStart"/>
      <w:r>
        <w:t>IRB;</w:t>
      </w:r>
      <w:proofErr w:type="gramEnd"/>
    </w:p>
    <w:p w14:paraId="01D042DF" w14:textId="77777777" w:rsidR="00A73C32" w:rsidRDefault="00A73C32">
      <w:pPr>
        <w:pStyle w:val="BodyText"/>
        <w:spacing w:before="9"/>
        <w:rPr>
          <w:sz w:val="19"/>
        </w:rPr>
      </w:pPr>
    </w:p>
    <w:p w14:paraId="2DA20CCD" w14:textId="26689E9C" w:rsidR="00A73C32" w:rsidRDefault="00147D9D">
      <w:pPr>
        <w:pStyle w:val="ListParagraph"/>
        <w:numPr>
          <w:ilvl w:val="2"/>
          <w:numId w:val="2"/>
        </w:numPr>
        <w:tabs>
          <w:tab w:val="left" w:pos="1919"/>
          <w:tab w:val="left" w:pos="1920"/>
        </w:tabs>
        <w:ind w:right="406"/>
      </w:pPr>
      <w:r>
        <w:t xml:space="preserve">Notify </w:t>
      </w:r>
      <w:r w:rsidR="00504277">
        <w:t xml:space="preserve">Reviewing IRB </w:t>
      </w:r>
      <w:r>
        <w:t xml:space="preserve">of any of the following </w:t>
      </w:r>
      <w:r w:rsidR="00F932EA">
        <w:t>as it relates to each</w:t>
      </w:r>
      <w:r>
        <w:t xml:space="preserve"> research</w:t>
      </w:r>
      <w:r w:rsidR="00A356E4">
        <w:t xml:space="preserve"> project</w:t>
      </w:r>
      <w:r>
        <w:t>:</w:t>
      </w:r>
      <w:r>
        <w:rPr>
          <w:spacing w:val="1"/>
        </w:rPr>
        <w:t xml:space="preserve"> </w:t>
      </w:r>
      <w:r w:rsidR="00BD6D60">
        <w:rPr>
          <w:spacing w:val="1"/>
        </w:rPr>
        <w:t xml:space="preserve">(1) </w:t>
      </w:r>
      <w:r>
        <w:t>serious and/</w:t>
      </w:r>
      <w:proofErr w:type="gramStart"/>
      <w:r>
        <w:t>or</w:t>
      </w:r>
      <w:r w:rsidR="00BD6D60">
        <w:t xml:space="preserve"> </w:t>
      </w:r>
      <w:r>
        <w:rPr>
          <w:spacing w:val="-47"/>
        </w:rPr>
        <w:t xml:space="preserve"> </w:t>
      </w:r>
      <w:r>
        <w:t>continuing</w:t>
      </w:r>
      <w:proofErr w:type="gramEnd"/>
      <w:r>
        <w:t xml:space="preserve"> noncompliance</w:t>
      </w:r>
      <w:r w:rsidR="00BE2F90">
        <w:t>; (2)</w:t>
      </w:r>
      <w:r>
        <w:t xml:space="preserve"> restriction</w:t>
      </w:r>
      <w:r w:rsidR="00BD6D60">
        <w:t>,</w:t>
      </w:r>
      <w:r>
        <w:t xml:space="preserve"> and/or suspension of research activities</w:t>
      </w:r>
      <w:r w:rsidR="00BD6D60">
        <w:t>; (</w:t>
      </w:r>
      <w:r w:rsidR="00BE2F90">
        <w:t>3</w:t>
      </w:r>
      <w:r w:rsidR="00BD6D60">
        <w:t xml:space="preserve">) </w:t>
      </w:r>
      <w:r w:rsidR="00991C6D">
        <w:t xml:space="preserve">internal </w:t>
      </w:r>
      <w:r>
        <w:t>audits</w:t>
      </w:r>
      <w:r w:rsidR="00BD6D60">
        <w:t>,</w:t>
      </w:r>
      <w:r>
        <w:rPr>
          <w:spacing w:val="1"/>
        </w:rPr>
        <w:t xml:space="preserve"> </w:t>
      </w:r>
      <w:r>
        <w:t>including findings and corrective actions</w:t>
      </w:r>
      <w:r w:rsidR="00BD6D60">
        <w:t>; (</w:t>
      </w:r>
      <w:r w:rsidR="00BE2F90">
        <w:t>4</w:t>
      </w:r>
      <w:r w:rsidR="00BD6D60">
        <w:t>)</w:t>
      </w:r>
      <w:r>
        <w:t xml:space="preserve"> communication with regulatory agencies</w:t>
      </w:r>
      <w:r w:rsidR="00BD6D60">
        <w:t>; (</w:t>
      </w:r>
      <w:r w:rsidR="00BE2F90">
        <w:t>5</w:t>
      </w:r>
      <w:r w:rsidR="00BD6D60">
        <w:t>)</w:t>
      </w:r>
      <w:r>
        <w:t xml:space="preserve"> legal</w:t>
      </w:r>
      <w:r>
        <w:rPr>
          <w:spacing w:val="1"/>
        </w:rPr>
        <w:t xml:space="preserve"> </w:t>
      </w:r>
      <w:r>
        <w:t>claims</w:t>
      </w:r>
      <w:r w:rsidR="00BD6D60">
        <w:t>; (</w:t>
      </w:r>
      <w:r w:rsidR="00BE2F90">
        <w:t>6</w:t>
      </w:r>
      <w:r w:rsidR="00BD6D60">
        <w:t>)</w:t>
      </w:r>
      <w:r>
        <w:rPr>
          <w:spacing w:val="-3"/>
        </w:rPr>
        <w:t xml:space="preserve"> </w:t>
      </w:r>
      <w:r>
        <w:t>personnel disciplinary action</w:t>
      </w:r>
      <w:r w:rsidR="00BD6D60">
        <w:t>; and (</w:t>
      </w:r>
      <w:r w:rsidR="00BE2F90">
        <w:t>7</w:t>
      </w:r>
      <w:r w:rsidR="00BD6D60">
        <w:t xml:space="preserve">) </w:t>
      </w:r>
      <w:r>
        <w:t>research</w:t>
      </w:r>
      <w:r>
        <w:rPr>
          <w:spacing w:val="-1"/>
        </w:rPr>
        <w:t xml:space="preserve"> </w:t>
      </w:r>
      <w:r>
        <w:t>misconduct</w:t>
      </w:r>
      <w:r w:rsidR="00991C6D">
        <w:t>.</w:t>
      </w:r>
    </w:p>
    <w:p w14:paraId="057146E1" w14:textId="77777777" w:rsidR="00571247" w:rsidRDefault="00571247" w:rsidP="00571247">
      <w:pPr>
        <w:tabs>
          <w:tab w:val="left" w:pos="1919"/>
          <w:tab w:val="left" w:pos="1920"/>
        </w:tabs>
        <w:spacing w:before="37"/>
        <w:ind w:left="1559" w:right="269"/>
      </w:pPr>
    </w:p>
    <w:p w14:paraId="6971F6B4" w14:textId="77777777" w:rsidR="00A73C32" w:rsidRDefault="00A73C32">
      <w:pPr>
        <w:pStyle w:val="BodyText"/>
        <w:spacing w:before="6"/>
        <w:rPr>
          <w:sz w:val="19"/>
        </w:rPr>
      </w:pPr>
    </w:p>
    <w:p w14:paraId="5412569E" w14:textId="51103986" w:rsidR="00A73C32" w:rsidRDefault="00147D9D">
      <w:pPr>
        <w:pStyle w:val="Heading1"/>
        <w:numPr>
          <w:ilvl w:val="0"/>
          <w:numId w:val="4"/>
        </w:numPr>
        <w:tabs>
          <w:tab w:val="left" w:pos="839"/>
          <w:tab w:val="left" w:pos="840"/>
        </w:tabs>
        <w:ind w:left="839"/>
      </w:pPr>
      <w:r>
        <w:t>Contacts</w:t>
      </w:r>
      <w:r w:rsidR="008C4B95">
        <w:t>.</w:t>
      </w:r>
    </w:p>
    <w:p w14:paraId="5E91D592" w14:textId="77777777" w:rsidR="00A73C32" w:rsidRDefault="00A73C32">
      <w:pPr>
        <w:pStyle w:val="BodyText"/>
        <w:spacing w:before="1"/>
        <w:rPr>
          <w:sz w:val="15"/>
        </w:rPr>
      </w:pPr>
    </w:p>
    <w:p w14:paraId="1BBB2AA4" w14:textId="4E074ECA" w:rsidR="00A73C32" w:rsidRDefault="00147D9D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spacing w:before="56"/>
      </w:pPr>
      <w:r>
        <w:rPr>
          <w:u w:val="single"/>
        </w:rPr>
        <w:t>Contact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  <w:r>
        <w:t>.</w:t>
      </w:r>
      <w:r>
        <w:rPr>
          <w:spacing w:val="4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 w:rsidR="00571247">
        <w:t>individuals</w:t>
      </w:r>
      <w:r w:rsidR="00571247"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institution</w:t>
      </w:r>
      <w:r w:rsidR="00571247">
        <w:t xml:space="preserve"> during normal business hours</w:t>
      </w:r>
      <w:r>
        <w:t>.</w:t>
      </w:r>
    </w:p>
    <w:p w14:paraId="765F9EEE" w14:textId="77777777" w:rsidR="00A73C32" w:rsidRDefault="00A73C32">
      <w:pPr>
        <w:pStyle w:val="BodyText"/>
        <w:rPr>
          <w:sz w:val="20"/>
        </w:rPr>
      </w:pPr>
    </w:p>
    <w:p w14:paraId="4D6109FF" w14:textId="77777777" w:rsidR="00A73C32" w:rsidRDefault="00A73C32">
      <w:pPr>
        <w:pStyle w:val="BodyText"/>
        <w:rPr>
          <w:sz w:val="20"/>
        </w:rPr>
      </w:pPr>
    </w:p>
    <w:p w14:paraId="1EC94718" w14:textId="77777777" w:rsidR="00A73C32" w:rsidRDefault="00A73C32">
      <w:pPr>
        <w:pStyle w:val="BodyText"/>
        <w:spacing w:before="4"/>
        <w:rPr>
          <w:sz w:val="27"/>
        </w:rPr>
      </w:pPr>
    </w:p>
    <w:tbl>
      <w:tblPr>
        <w:tblW w:w="0" w:type="auto"/>
        <w:tblInd w:w="1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4200"/>
      </w:tblGrid>
      <w:tr w:rsidR="00A73C32" w14:paraId="6D35100D" w14:textId="77777777" w:rsidTr="00393976">
        <w:trPr>
          <w:trHeight w:val="262"/>
        </w:trPr>
        <w:tc>
          <w:tcPr>
            <w:tcW w:w="4276" w:type="dxa"/>
          </w:tcPr>
          <w:p w14:paraId="2AB913D3" w14:textId="715BFCFB" w:rsidR="00A73C32" w:rsidRDefault="00504277">
            <w:pPr>
              <w:pStyle w:val="TableParagraph"/>
              <w:spacing w:line="225" w:lineRule="exact"/>
              <w:ind w:left="47"/>
            </w:pPr>
            <w:r>
              <w:rPr>
                <w:u w:val="single"/>
              </w:rPr>
              <w:t xml:space="preserve">Reviewing </w:t>
            </w:r>
            <w:r w:rsidR="00147D9D">
              <w:rPr>
                <w:u w:val="single"/>
              </w:rPr>
              <w:t>IRB</w:t>
            </w:r>
          </w:p>
        </w:tc>
        <w:tc>
          <w:tcPr>
            <w:tcW w:w="4200" w:type="dxa"/>
          </w:tcPr>
          <w:p w14:paraId="193A50A9" w14:textId="577CE042" w:rsidR="00A73C32" w:rsidRPr="00726E7A" w:rsidRDefault="00456A74">
            <w:pPr>
              <w:pStyle w:val="TableParagraph"/>
              <w:spacing w:line="225" w:lineRule="exact"/>
              <w:ind w:left="1692" w:right="0"/>
              <w:jc w:val="left"/>
              <w:rPr>
                <w:highlight w:val="yellow"/>
              </w:rPr>
            </w:pPr>
            <w:r w:rsidRPr="00726E7A">
              <w:rPr>
                <w:u w:val="single"/>
              </w:rPr>
              <w:t>Relying Institution</w:t>
            </w:r>
          </w:p>
        </w:tc>
      </w:tr>
      <w:tr w:rsidR="00A73C32" w14:paraId="75672623" w14:textId="77777777" w:rsidTr="00393976">
        <w:trPr>
          <w:trHeight w:val="2867"/>
        </w:trPr>
        <w:tc>
          <w:tcPr>
            <w:tcW w:w="4276" w:type="dxa"/>
          </w:tcPr>
          <w:p w14:paraId="27B5A674" w14:textId="6770417A" w:rsidR="00A73C32" w:rsidRDefault="00987A8A">
            <w:pPr>
              <w:pStyle w:val="TableParagraph"/>
              <w:spacing w:line="249" w:lineRule="exact"/>
            </w:pPr>
            <w:r>
              <w:t>Joseph M. Smith</w:t>
            </w:r>
          </w:p>
          <w:p w14:paraId="7EBF80FC" w14:textId="7DC3F29B" w:rsidR="00A73C32" w:rsidRDefault="00987A8A">
            <w:pPr>
              <w:pStyle w:val="TableParagraph"/>
              <w:ind w:right="756"/>
            </w:pPr>
            <w:r>
              <w:t>Director</w:t>
            </w:r>
          </w:p>
          <w:p w14:paraId="13C44361" w14:textId="77777777" w:rsidR="00A73C32" w:rsidRDefault="00393976">
            <w:pPr>
              <w:pStyle w:val="TableParagraph"/>
            </w:pPr>
            <w:r>
              <w:t>Human Research Protection Program</w:t>
            </w:r>
            <w:r w:rsidR="00147D9D">
              <w:rPr>
                <w:spacing w:val="1"/>
              </w:rPr>
              <w:t xml:space="preserve"> </w:t>
            </w:r>
            <w:r w:rsidR="00147D9D">
              <w:t>University</w:t>
            </w:r>
            <w:r>
              <w:t xml:space="preserve"> of Maryland, College Park</w:t>
            </w:r>
          </w:p>
          <w:p w14:paraId="313FD145" w14:textId="1329AEA0" w:rsidR="00393976" w:rsidRDefault="00987A8A" w:rsidP="00393976">
            <w:pPr>
              <w:pStyle w:val="TableParagraph"/>
              <w:spacing w:line="267" w:lineRule="exact"/>
              <w:ind w:left="49"/>
            </w:pPr>
            <w:r>
              <w:t xml:space="preserve"> (301) 405-4212</w:t>
            </w:r>
          </w:p>
          <w:p w14:paraId="784C09BF" w14:textId="1A623481" w:rsidR="00A73C32" w:rsidRDefault="00987A8A" w:rsidP="00393976">
            <w:pPr>
              <w:pStyle w:val="TableParagraph"/>
              <w:spacing w:line="267" w:lineRule="exact"/>
              <w:ind w:left="49"/>
            </w:pPr>
            <w:r>
              <w:rPr>
                <w:color w:val="0000FF"/>
                <w:u w:val="single" w:color="0000FF"/>
              </w:rPr>
              <w:t>relianceagreements</w:t>
            </w:r>
            <w:r w:rsidR="00393976">
              <w:rPr>
                <w:color w:val="0000FF"/>
                <w:u w:val="single" w:color="0000FF"/>
              </w:rPr>
              <w:t>@umd.edu</w:t>
            </w:r>
          </w:p>
          <w:p w14:paraId="181EE1BF" w14:textId="77777777" w:rsidR="00A73C32" w:rsidRDefault="00A73C32">
            <w:pPr>
              <w:pStyle w:val="TableParagraph"/>
              <w:spacing w:before="4"/>
              <w:ind w:left="0" w:right="0"/>
              <w:jc w:val="left"/>
              <w:rPr>
                <w:sz w:val="20"/>
              </w:rPr>
            </w:pPr>
          </w:p>
          <w:p w14:paraId="2C813CB7" w14:textId="3A5819C8" w:rsidR="00A73C32" w:rsidRDefault="00504277">
            <w:pPr>
              <w:pStyle w:val="TableParagraph"/>
              <w:spacing w:line="270" w:lineRule="atLeast"/>
              <w:ind w:left="1139" w:right="1849"/>
            </w:pPr>
            <w:r>
              <w:t xml:space="preserve">Reviewing </w:t>
            </w:r>
            <w:r w:rsidR="00987A8A">
              <w:t>I</w:t>
            </w:r>
            <w:r>
              <w:t>RB</w:t>
            </w:r>
            <w:r w:rsidR="00147D9D">
              <w:t>:</w:t>
            </w:r>
            <w:r w:rsidR="00147D9D">
              <w:rPr>
                <w:spacing w:val="-47"/>
              </w:rPr>
              <w:t xml:space="preserve"> </w:t>
            </w:r>
            <w:hyperlink r:id="rId7" w:history="1">
              <w:r w:rsidR="008C4B95" w:rsidRPr="00021252">
                <w:rPr>
                  <w:rStyle w:val="Hyperlink"/>
                </w:rPr>
                <w:t>irb@umd.edu</w:t>
              </w:r>
            </w:hyperlink>
          </w:p>
          <w:p w14:paraId="73C70B84" w14:textId="08DD4A8A" w:rsidR="008C4B95" w:rsidRDefault="008C4B95">
            <w:pPr>
              <w:pStyle w:val="TableParagraph"/>
              <w:spacing w:line="270" w:lineRule="atLeast"/>
              <w:ind w:left="1139" w:right="1849"/>
            </w:pPr>
          </w:p>
        </w:tc>
        <w:tc>
          <w:tcPr>
            <w:tcW w:w="4200" w:type="dxa"/>
          </w:tcPr>
          <w:p w14:paraId="191C7FFF" w14:textId="5977AF42" w:rsidR="00A73C32" w:rsidRPr="00D12D0A" w:rsidRDefault="00A73C32" w:rsidP="00223E1C">
            <w:pPr>
              <w:pStyle w:val="TableParagraph"/>
              <w:ind w:left="1287" w:right="47" w:hanging="528"/>
              <w:rPr>
                <w:highlight w:val="yellow"/>
              </w:rPr>
            </w:pPr>
          </w:p>
        </w:tc>
      </w:tr>
    </w:tbl>
    <w:p w14:paraId="112EF804" w14:textId="767BB4E6" w:rsidR="00412B4E" w:rsidRDefault="008C4B95" w:rsidP="008C4B95">
      <w:pPr>
        <w:pStyle w:val="ListParagraph"/>
        <w:numPr>
          <w:ilvl w:val="0"/>
          <w:numId w:val="4"/>
        </w:numPr>
      </w:pPr>
      <w:r>
        <w:rPr>
          <w:b/>
        </w:rPr>
        <w:t>Entire Agreement.</w:t>
      </w:r>
    </w:p>
    <w:p w14:paraId="0C01B4BB" w14:textId="02D7D8FD" w:rsidR="008C4B95" w:rsidRDefault="008C4B95" w:rsidP="008C4B95"/>
    <w:p w14:paraId="2DAC1816" w14:textId="777907B9" w:rsidR="008C4B95" w:rsidRDefault="008C4B95" w:rsidP="00AB61A3">
      <w:pPr>
        <w:ind w:left="840"/>
      </w:pPr>
      <w:r>
        <w:t xml:space="preserve">This IRB Reliance Agreement constitutes the </w:t>
      </w:r>
      <w:r w:rsidRPr="008C4B95">
        <w:t xml:space="preserve">entire agreement and understanding by and among the Parties on the subject matter presented herein and supersedes </w:t>
      </w:r>
      <w:proofErr w:type="gramStart"/>
      <w:r w:rsidRPr="008C4B95">
        <w:t>any and all</w:t>
      </w:r>
      <w:proofErr w:type="gramEnd"/>
      <w:r w:rsidRPr="008C4B95">
        <w:t xml:space="preserve"> prior agreements, understandings, or commitments, written or oral, between the Parties. There are no representations, warranties, agreements</w:t>
      </w:r>
      <w:r>
        <w:t>,</w:t>
      </w:r>
      <w:r w:rsidRPr="008C4B95">
        <w:t xml:space="preserve"> or understandings, express or implied, </w:t>
      </w:r>
      <w:proofErr w:type="gramStart"/>
      <w:r w:rsidRPr="008C4B95">
        <w:t>written</w:t>
      </w:r>
      <w:proofErr w:type="gramEnd"/>
      <w:r w:rsidRPr="008C4B95">
        <w:t xml:space="preserve"> or oral</w:t>
      </w:r>
      <w:r w:rsidR="0058074A">
        <w:t>,</w:t>
      </w:r>
      <w:r w:rsidRPr="008C4B95">
        <w:t xml:space="preserve"> between the Parties relating to this subject matter that are not fully expressed herein</w:t>
      </w:r>
      <w:r>
        <w:t>.</w:t>
      </w:r>
    </w:p>
    <w:p w14:paraId="792A2F5A" w14:textId="6267864E" w:rsidR="00222479" w:rsidRDefault="00222479" w:rsidP="00AB61A3">
      <w:pPr>
        <w:ind w:left="840"/>
      </w:pPr>
    </w:p>
    <w:p w14:paraId="38984CDB" w14:textId="300C915E" w:rsidR="00222479" w:rsidRDefault="00222479" w:rsidP="00AB61A3">
      <w:pPr>
        <w:ind w:left="840"/>
      </w:pPr>
    </w:p>
    <w:p w14:paraId="45F6D354" w14:textId="29162644" w:rsidR="00CE2697" w:rsidRDefault="00CE2697" w:rsidP="00AB61A3">
      <w:pPr>
        <w:ind w:left="840"/>
      </w:pPr>
    </w:p>
    <w:p w14:paraId="51C6D5FE" w14:textId="197BD524" w:rsidR="00CE2697" w:rsidRDefault="00CE2697" w:rsidP="00AB61A3">
      <w:pPr>
        <w:ind w:left="840"/>
      </w:pPr>
    </w:p>
    <w:sectPr w:rsidR="00CE2697" w:rsidSect="00F80F9F">
      <w:footerReference w:type="default" r:id="rId8"/>
      <w:pgSz w:w="12240" w:h="15840"/>
      <w:pgMar w:top="1037" w:right="864" w:bottom="922" w:left="86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31D7" w14:textId="77777777" w:rsidR="00DF4A56" w:rsidRDefault="00DF4A56">
      <w:r>
        <w:separator/>
      </w:r>
    </w:p>
  </w:endnote>
  <w:endnote w:type="continuationSeparator" w:id="0">
    <w:p w14:paraId="143A530E" w14:textId="77777777" w:rsidR="00DF4A56" w:rsidRDefault="00DF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0D7B" w14:textId="2F725487" w:rsidR="00A73C32" w:rsidRDefault="004615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5A5C2ECD" wp14:editId="3AACFC0E">
              <wp:simplePos x="0" y="0"/>
              <wp:positionH relativeFrom="page">
                <wp:posOffset>6497320</wp:posOffset>
              </wp:positionH>
              <wp:positionV relativeFrom="page">
                <wp:posOffset>9458325</wp:posOffset>
              </wp:positionV>
              <wp:extent cx="557530" cy="152400"/>
              <wp:effectExtent l="0" t="0" r="1397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B32F8" w14:textId="25670472" w:rsidR="00A73C32" w:rsidRDefault="003F0F61">
                          <w:pPr>
                            <w:spacing w:line="223" w:lineRule="exact"/>
                            <w:ind w:left="2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sz w:val="20"/>
                            </w:rPr>
                            <w:t>V3/</w:t>
                          </w:r>
                          <w:r w:rsidR="004615FA">
                            <w:rPr>
                              <w:rFonts w:ascii="Calibri Light"/>
                              <w:sz w:val="20"/>
                            </w:rPr>
                            <w:t>07</w:t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/2</w:t>
                          </w:r>
                          <w:r w:rsidR="004615FA">
                            <w:rPr>
                              <w:rFonts w:ascii="Calibri Light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C2EC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11.6pt;margin-top:744.75pt;width:43.9pt;height:12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" filled="f" stroked="f">
              <v:textbox inset="0,0,0,0">
                <w:txbxContent>
                  <w:p w14:paraId="40DB32F8" w14:textId="25670472" w:rsidR="00A73C32" w:rsidRDefault="003F0F61">
                    <w:pPr>
                      <w:spacing w:line="223" w:lineRule="exact"/>
                      <w:ind w:left="20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sz w:val="20"/>
                      </w:rPr>
                      <w:t>V3/</w:t>
                    </w:r>
                    <w:r w:rsidR="004615FA">
                      <w:rPr>
                        <w:rFonts w:ascii="Calibri Light"/>
                        <w:sz w:val="20"/>
                      </w:rPr>
                      <w:t>07</w:t>
                    </w:r>
                    <w:r>
                      <w:rPr>
                        <w:rFonts w:ascii="Calibri Light"/>
                        <w:sz w:val="20"/>
                      </w:rPr>
                      <w:t>/2</w:t>
                    </w:r>
                    <w:r w:rsidR="004615FA">
                      <w:rPr>
                        <w:rFonts w:ascii="Calibri Light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2809"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7CBAF590" wp14:editId="50217AE9">
              <wp:simplePos x="0" y="0"/>
              <wp:positionH relativeFrom="page">
                <wp:posOffset>673100</wp:posOffset>
              </wp:positionH>
              <wp:positionV relativeFrom="page">
                <wp:posOffset>9458325</wp:posOffset>
              </wp:positionV>
              <wp:extent cx="594360" cy="152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583B9" w14:textId="7B0BE219" w:rsidR="00A73C32" w:rsidRDefault="00147D9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752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 w:rsidR="0058074A">
                            <w:rPr>
                              <w:sz w:val="20"/>
                            </w:rPr>
                            <w:t xml:space="preserve"> 4</w:t>
                          </w:r>
                          <w:r w:rsidR="00074447">
                            <w:rPr>
                              <w:sz w:val="20"/>
                            </w:rPr>
                            <w:t xml:space="preserve"> 5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AF590" id="docshape1" o:spid="_x0000_s1027" type="#_x0000_t202" style="position:absolute;margin-left:53pt;margin-top:744.75pt;width:46.8pt;height:12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" filled="f" stroked="f">
              <v:textbox inset="0,0,0,0">
                <w:txbxContent>
                  <w:p w14:paraId="459583B9" w14:textId="7B0BE219" w:rsidR="00A73C32" w:rsidRDefault="00147D9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752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 w:rsidR="0058074A">
                      <w:rPr>
                        <w:sz w:val="20"/>
                      </w:rPr>
                      <w:t xml:space="preserve"> 4</w:t>
                    </w:r>
                    <w:r w:rsidR="00074447">
                      <w:rPr>
                        <w:sz w:val="20"/>
                      </w:rPr>
                      <w:t xml:space="preserve"> 5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9986" w14:textId="77777777" w:rsidR="00DF4A56" w:rsidRDefault="00DF4A56">
      <w:r>
        <w:separator/>
      </w:r>
    </w:p>
  </w:footnote>
  <w:footnote w:type="continuationSeparator" w:id="0">
    <w:p w14:paraId="2556D65C" w14:textId="77777777" w:rsidR="00DF4A56" w:rsidRDefault="00DF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6875"/>
    <w:multiLevelType w:val="multilevel"/>
    <w:tmpl w:val="EA263D06"/>
    <w:lvl w:ilvl="0">
      <w:start w:val="2"/>
      <w:numFmt w:val="decimal"/>
      <w:lvlText w:val="%1"/>
      <w:lvlJc w:val="left"/>
      <w:pPr>
        <w:ind w:left="1560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C026C4"/>
    <w:multiLevelType w:val="hybridMultilevel"/>
    <w:tmpl w:val="B6CEA840"/>
    <w:lvl w:ilvl="0" w:tplc="84BE03DE">
      <w:start w:val="46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5522D0D"/>
    <w:multiLevelType w:val="multilevel"/>
    <w:tmpl w:val="718C9E18"/>
    <w:lvl w:ilvl="0">
      <w:start w:val="1"/>
      <w:numFmt w:val="decimal"/>
      <w:lvlText w:val="%1"/>
      <w:lvlJc w:val="left"/>
      <w:pPr>
        <w:ind w:left="1560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EB366F"/>
    <w:multiLevelType w:val="hybridMultilevel"/>
    <w:tmpl w:val="E3D4FDAA"/>
    <w:lvl w:ilvl="0" w:tplc="1C2ACD10">
      <w:start w:val="1"/>
      <w:numFmt w:val="upperRoman"/>
      <w:lvlText w:val="%1."/>
      <w:lvlJc w:val="left"/>
      <w:pPr>
        <w:ind w:left="84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BA27A6">
      <w:numFmt w:val="bullet"/>
      <w:lvlText w:val="•"/>
      <w:lvlJc w:val="left"/>
      <w:pPr>
        <w:ind w:left="1788" w:hanging="721"/>
      </w:pPr>
      <w:rPr>
        <w:rFonts w:hint="default"/>
        <w:lang w:val="en-US" w:eastAsia="en-US" w:bidi="ar-SA"/>
      </w:rPr>
    </w:lvl>
    <w:lvl w:ilvl="2" w:tplc="6A666DA2">
      <w:numFmt w:val="bullet"/>
      <w:lvlText w:val="•"/>
      <w:lvlJc w:val="left"/>
      <w:pPr>
        <w:ind w:left="2736" w:hanging="721"/>
      </w:pPr>
      <w:rPr>
        <w:rFonts w:hint="default"/>
        <w:lang w:val="en-US" w:eastAsia="en-US" w:bidi="ar-SA"/>
      </w:rPr>
    </w:lvl>
    <w:lvl w:ilvl="3" w:tplc="45EA7BB2">
      <w:numFmt w:val="bullet"/>
      <w:lvlText w:val="•"/>
      <w:lvlJc w:val="left"/>
      <w:pPr>
        <w:ind w:left="3684" w:hanging="721"/>
      </w:pPr>
      <w:rPr>
        <w:rFonts w:hint="default"/>
        <w:lang w:val="en-US" w:eastAsia="en-US" w:bidi="ar-SA"/>
      </w:rPr>
    </w:lvl>
    <w:lvl w:ilvl="4" w:tplc="FF3C3FBC">
      <w:numFmt w:val="bullet"/>
      <w:lvlText w:val="•"/>
      <w:lvlJc w:val="left"/>
      <w:pPr>
        <w:ind w:left="4632" w:hanging="721"/>
      </w:pPr>
      <w:rPr>
        <w:rFonts w:hint="default"/>
        <w:lang w:val="en-US" w:eastAsia="en-US" w:bidi="ar-SA"/>
      </w:rPr>
    </w:lvl>
    <w:lvl w:ilvl="5" w:tplc="873A355C"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ar-SA"/>
      </w:rPr>
    </w:lvl>
    <w:lvl w:ilvl="6" w:tplc="82DE0FB6">
      <w:numFmt w:val="bullet"/>
      <w:lvlText w:val="•"/>
      <w:lvlJc w:val="left"/>
      <w:pPr>
        <w:ind w:left="6528" w:hanging="721"/>
      </w:pPr>
      <w:rPr>
        <w:rFonts w:hint="default"/>
        <w:lang w:val="en-US" w:eastAsia="en-US" w:bidi="ar-SA"/>
      </w:rPr>
    </w:lvl>
    <w:lvl w:ilvl="7" w:tplc="FBD27248">
      <w:numFmt w:val="bullet"/>
      <w:lvlText w:val="•"/>
      <w:lvlJc w:val="left"/>
      <w:pPr>
        <w:ind w:left="7476" w:hanging="721"/>
      </w:pPr>
      <w:rPr>
        <w:rFonts w:hint="default"/>
        <w:lang w:val="en-US" w:eastAsia="en-US" w:bidi="ar-SA"/>
      </w:rPr>
    </w:lvl>
    <w:lvl w:ilvl="8" w:tplc="A27C14C2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689B55D9"/>
    <w:multiLevelType w:val="hybridMultilevel"/>
    <w:tmpl w:val="BC908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5D9D"/>
    <w:multiLevelType w:val="multilevel"/>
    <w:tmpl w:val="7E866D68"/>
    <w:lvl w:ilvl="0">
      <w:start w:val="3"/>
      <w:numFmt w:val="decimal"/>
      <w:lvlText w:val="%1"/>
      <w:lvlJc w:val="left"/>
      <w:pPr>
        <w:ind w:left="1560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1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721"/>
      </w:pPr>
      <w:rPr>
        <w:rFonts w:hint="default"/>
        <w:lang w:val="en-US" w:eastAsia="en-US" w:bidi="ar-SA"/>
      </w:rPr>
    </w:lvl>
  </w:abstractNum>
  <w:num w:numId="1" w16cid:durableId="1427731720">
    <w:abstractNumId w:val="5"/>
  </w:num>
  <w:num w:numId="2" w16cid:durableId="652874134">
    <w:abstractNumId w:val="0"/>
  </w:num>
  <w:num w:numId="3" w16cid:durableId="1812557091">
    <w:abstractNumId w:val="2"/>
  </w:num>
  <w:num w:numId="4" w16cid:durableId="687828124">
    <w:abstractNumId w:val="3"/>
  </w:num>
  <w:num w:numId="5" w16cid:durableId="203491735">
    <w:abstractNumId w:val="4"/>
  </w:num>
  <w:num w:numId="6" w16cid:durableId="16956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32"/>
    <w:rsid w:val="00024D75"/>
    <w:rsid w:val="000303C2"/>
    <w:rsid w:val="00061D07"/>
    <w:rsid w:val="00073F84"/>
    <w:rsid w:val="00074447"/>
    <w:rsid w:val="00080623"/>
    <w:rsid w:val="00082CFF"/>
    <w:rsid w:val="0009027F"/>
    <w:rsid w:val="00096201"/>
    <w:rsid w:val="000B4877"/>
    <w:rsid w:val="000C074D"/>
    <w:rsid w:val="000E760C"/>
    <w:rsid w:val="00113C68"/>
    <w:rsid w:val="0012594C"/>
    <w:rsid w:val="00126AB0"/>
    <w:rsid w:val="00147D9D"/>
    <w:rsid w:val="00151F7E"/>
    <w:rsid w:val="00165A95"/>
    <w:rsid w:val="001664EA"/>
    <w:rsid w:val="001710E7"/>
    <w:rsid w:val="00186353"/>
    <w:rsid w:val="00196F47"/>
    <w:rsid w:val="001C391E"/>
    <w:rsid w:val="001D3762"/>
    <w:rsid w:val="001E1B08"/>
    <w:rsid w:val="001F2ED5"/>
    <w:rsid w:val="00205A7E"/>
    <w:rsid w:val="00222479"/>
    <w:rsid w:val="00223E1C"/>
    <w:rsid w:val="00254FB7"/>
    <w:rsid w:val="00261461"/>
    <w:rsid w:val="002641DE"/>
    <w:rsid w:val="00264F9C"/>
    <w:rsid w:val="00277B01"/>
    <w:rsid w:val="00297D26"/>
    <w:rsid w:val="002B3835"/>
    <w:rsid w:val="002B5002"/>
    <w:rsid w:val="002E0DFC"/>
    <w:rsid w:val="002E2809"/>
    <w:rsid w:val="002F4AEE"/>
    <w:rsid w:val="002F6023"/>
    <w:rsid w:val="0032196D"/>
    <w:rsid w:val="003543CF"/>
    <w:rsid w:val="00362E6E"/>
    <w:rsid w:val="00364846"/>
    <w:rsid w:val="00367FAB"/>
    <w:rsid w:val="0039062D"/>
    <w:rsid w:val="00393976"/>
    <w:rsid w:val="003A126A"/>
    <w:rsid w:val="003A5251"/>
    <w:rsid w:val="003D7110"/>
    <w:rsid w:val="003D79FB"/>
    <w:rsid w:val="003F0F61"/>
    <w:rsid w:val="00401F5A"/>
    <w:rsid w:val="00404336"/>
    <w:rsid w:val="00412B4E"/>
    <w:rsid w:val="0042178F"/>
    <w:rsid w:val="00422839"/>
    <w:rsid w:val="004261A0"/>
    <w:rsid w:val="00433CC2"/>
    <w:rsid w:val="00436DC2"/>
    <w:rsid w:val="0045079F"/>
    <w:rsid w:val="00450A0B"/>
    <w:rsid w:val="0045248E"/>
    <w:rsid w:val="00456A74"/>
    <w:rsid w:val="0045745F"/>
    <w:rsid w:val="00460247"/>
    <w:rsid w:val="004615FA"/>
    <w:rsid w:val="004743D8"/>
    <w:rsid w:val="00497EC1"/>
    <w:rsid w:val="004B32D3"/>
    <w:rsid w:val="004B5699"/>
    <w:rsid w:val="004D26E8"/>
    <w:rsid w:val="004E5AD8"/>
    <w:rsid w:val="004F0B18"/>
    <w:rsid w:val="004F1842"/>
    <w:rsid w:val="004F4BB3"/>
    <w:rsid w:val="004F58FD"/>
    <w:rsid w:val="00504277"/>
    <w:rsid w:val="00515C7E"/>
    <w:rsid w:val="00516F59"/>
    <w:rsid w:val="00534783"/>
    <w:rsid w:val="0054520F"/>
    <w:rsid w:val="00546E53"/>
    <w:rsid w:val="00551394"/>
    <w:rsid w:val="00571247"/>
    <w:rsid w:val="0058074A"/>
    <w:rsid w:val="005A3DD1"/>
    <w:rsid w:val="005B7EBC"/>
    <w:rsid w:val="005D57D3"/>
    <w:rsid w:val="005E14FA"/>
    <w:rsid w:val="005F2444"/>
    <w:rsid w:val="005F7525"/>
    <w:rsid w:val="00601C42"/>
    <w:rsid w:val="00612B3A"/>
    <w:rsid w:val="0061338A"/>
    <w:rsid w:val="006143A2"/>
    <w:rsid w:val="0063249B"/>
    <w:rsid w:val="0063333D"/>
    <w:rsid w:val="00633CA0"/>
    <w:rsid w:val="00640816"/>
    <w:rsid w:val="0065176B"/>
    <w:rsid w:val="00674468"/>
    <w:rsid w:val="006753FF"/>
    <w:rsid w:val="006A7D90"/>
    <w:rsid w:val="006B5075"/>
    <w:rsid w:val="006D4CB1"/>
    <w:rsid w:val="006D6C91"/>
    <w:rsid w:val="006E1616"/>
    <w:rsid w:val="006F28E0"/>
    <w:rsid w:val="006F6034"/>
    <w:rsid w:val="007017E7"/>
    <w:rsid w:val="00710F5C"/>
    <w:rsid w:val="00726E7A"/>
    <w:rsid w:val="0074524F"/>
    <w:rsid w:val="007A73F0"/>
    <w:rsid w:val="007B3137"/>
    <w:rsid w:val="007B6849"/>
    <w:rsid w:val="007B7B59"/>
    <w:rsid w:val="007D4B72"/>
    <w:rsid w:val="00813974"/>
    <w:rsid w:val="00832DB8"/>
    <w:rsid w:val="00840510"/>
    <w:rsid w:val="00846556"/>
    <w:rsid w:val="0085696F"/>
    <w:rsid w:val="00860BB6"/>
    <w:rsid w:val="00865038"/>
    <w:rsid w:val="00865E1C"/>
    <w:rsid w:val="00870CBF"/>
    <w:rsid w:val="00880E45"/>
    <w:rsid w:val="008821E1"/>
    <w:rsid w:val="008A5422"/>
    <w:rsid w:val="008B0ED7"/>
    <w:rsid w:val="008C148F"/>
    <w:rsid w:val="008C4B95"/>
    <w:rsid w:val="008C4BBD"/>
    <w:rsid w:val="008E18BB"/>
    <w:rsid w:val="008E573D"/>
    <w:rsid w:val="008E7FFD"/>
    <w:rsid w:val="00917DF5"/>
    <w:rsid w:val="009327CF"/>
    <w:rsid w:val="00935EC5"/>
    <w:rsid w:val="00940AE7"/>
    <w:rsid w:val="00947812"/>
    <w:rsid w:val="00987A8A"/>
    <w:rsid w:val="009916D2"/>
    <w:rsid w:val="00991C6D"/>
    <w:rsid w:val="0099459A"/>
    <w:rsid w:val="009945D3"/>
    <w:rsid w:val="009A5BEF"/>
    <w:rsid w:val="009A636D"/>
    <w:rsid w:val="009B211F"/>
    <w:rsid w:val="009C19A3"/>
    <w:rsid w:val="009C3313"/>
    <w:rsid w:val="00A128A4"/>
    <w:rsid w:val="00A12977"/>
    <w:rsid w:val="00A32261"/>
    <w:rsid w:val="00A356E4"/>
    <w:rsid w:val="00A46F40"/>
    <w:rsid w:val="00A51B45"/>
    <w:rsid w:val="00A54934"/>
    <w:rsid w:val="00A73C32"/>
    <w:rsid w:val="00A82F31"/>
    <w:rsid w:val="00A8758E"/>
    <w:rsid w:val="00A9105A"/>
    <w:rsid w:val="00A959E7"/>
    <w:rsid w:val="00A96E65"/>
    <w:rsid w:val="00AA34D1"/>
    <w:rsid w:val="00AB090F"/>
    <w:rsid w:val="00AB61A3"/>
    <w:rsid w:val="00AB69BD"/>
    <w:rsid w:val="00AD6587"/>
    <w:rsid w:val="00AE4EEB"/>
    <w:rsid w:val="00B1373C"/>
    <w:rsid w:val="00B3411D"/>
    <w:rsid w:val="00B40821"/>
    <w:rsid w:val="00B428A2"/>
    <w:rsid w:val="00B5495C"/>
    <w:rsid w:val="00B61025"/>
    <w:rsid w:val="00B66DF4"/>
    <w:rsid w:val="00B77F0A"/>
    <w:rsid w:val="00B81724"/>
    <w:rsid w:val="00B954F6"/>
    <w:rsid w:val="00B9611C"/>
    <w:rsid w:val="00BA22DC"/>
    <w:rsid w:val="00BA54BF"/>
    <w:rsid w:val="00BB5B95"/>
    <w:rsid w:val="00BB7D39"/>
    <w:rsid w:val="00BC713D"/>
    <w:rsid w:val="00BD6D60"/>
    <w:rsid w:val="00BE2F90"/>
    <w:rsid w:val="00BE77C4"/>
    <w:rsid w:val="00BF3F23"/>
    <w:rsid w:val="00C140B4"/>
    <w:rsid w:val="00C30065"/>
    <w:rsid w:val="00C314ED"/>
    <w:rsid w:val="00C65A60"/>
    <w:rsid w:val="00C81B7E"/>
    <w:rsid w:val="00C86671"/>
    <w:rsid w:val="00CA2A9E"/>
    <w:rsid w:val="00CB086D"/>
    <w:rsid w:val="00CC18B9"/>
    <w:rsid w:val="00CC5984"/>
    <w:rsid w:val="00CE2697"/>
    <w:rsid w:val="00CE54A4"/>
    <w:rsid w:val="00D046CE"/>
    <w:rsid w:val="00D12D0A"/>
    <w:rsid w:val="00D73024"/>
    <w:rsid w:val="00D90ED5"/>
    <w:rsid w:val="00DA64A2"/>
    <w:rsid w:val="00DB5BE8"/>
    <w:rsid w:val="00DD6B24"/>
    <w:rsid w:val="00DF4A56"/>
    <w:rsid w:val="00E23133"/>
    <w:rsid w:val="00E24591"/>
    <w:rsid w:val="00E30FD4"/>
    <w:rsid w:val="00E36D0E"/>
    <w:rsid w:val="00E52C60"/>
    <w:rsid w:val="00E53A45"/>
    <w:rsid w:val="00E638C0"/>
    <w:rsid w:val="00E73359"/>
    <w:rsid w:val="00E74FE8"/>
    <w:rsid w:val="00E77CE3"/>
    <w:rsid w:val="00E80275"/>
    <w:rsid w:val="00E956FA"/>
    <w:rsid w:val="00EB383E"/>
    <w:rsid w:val="00EB6C54"/>
    <w:rsid w:val="00EB70DA"/>
    <w:rsid w:val="00ED77EA"/>
    <w:rsid w:val="00EE55DD"/>
    <w:rsid w:val="00F13D2E"/>
    <w:rsid w:val="00F23494"/>
    <w:rsid w:val="00F53EA9"/>
    <w:rsid w:val="00F80F9F"/>
    <w:rsid w:val="00F82C47"/>
    <w:rsid w:val="00F932EA"/>
    <w:rsid w:val="00FA0670"/>
    <w:rsid w:val="00FD4D9F"/>
    <w:rsid w:val="00FE2083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FB305"/>
  <w15:docId w15:val="{7A167FFF-DBD8-450D-812A-5D7B4D5F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40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29" w:lineRule="exact"/>
      <w:ind w:left="86"/>
      <w:jc w:val="center"/>
    </w:pPr>
    <w:rPr>
      <w:rFonts w:ascii="Arial Narrow" w:eastAsia="Arial Narrow" w:hAnsi="Arial Narrow" w:cs="Arial Narrow"/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919" w:hanging="360"/>
    </w:pPr>
  </w:style>
  <w:style w:type="paragraph" w:customStyle="1" w:styleId="TableParagraph">
    <w:name w:val="Table Paragraph"/>
    <w:basedOn w:val="Normal"/>
    <w:uiPriority w:val="1"/>
    <w:qFormat/>
    <w:pPr>
      <w:ind w:left="50" w:right="757"/>
      <w:jc w:val="center"/>
    </w:pPr>
  </w:style>
  <w:style w:type="character" w:styleId="Hyperlink">
    <w:name w:val="Hyperlink"/>
    <w:basedOn w:val="DefaultParagraphFont"/>
    <w:uiPriority w:val="99"/>
    <w:unhideWhenUsed/>
    <w:rsid w:val="009B21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2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11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0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44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447"/>
    <w:rPr>
      <w:rFonts w:ascii="Calibri" w:eastAsia="Calibri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B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5B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@um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11/8/00b</vt:lpstr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11/8/00b</dc:title>
  <dc:creator>Waltz, Amy Catherine</dc:creator>
  <cp:lastModifiedBy>Jennifer Blackburn</cp:lastModifiedBy>
  <cp:revision>2</cp:revision>
  <dcterms:created xsi:type="dcterms:W3CDTF">2023-03-08T15:16:00Z</dcterms:created>
  <dcterms:modified xsi:type="dcterms:W3CDTF">2023-03-08T15:16:00Z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2021-11-04T00:00:00Z</vt:filetime>
  </property>
</Properties>
</file>